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0BFDBF" w14:textId="77777777" w:rsidR="00DA7719" w:rsidRDefault="00DA7719" w:rsidP="00DA7719">
      <w:pPr>
        <w:rPr>
          <w:rFonts w:ascii="Times New Roman" w:eastAsia="Times New Roman" w:hAnsi="Times New Roman" w:cs="Times New Roman"/>
          <w:i/>
        </w:rPr>
      </w:pPr>
      <w:bookmarkStart w:id="0" w:name="_Hlk162950270"/>
      <w:bookmarkEnd w:id="0"/>
      <w:r>
        <w:rPr>
          <w:rFonts w:ascii="Times New Roman" w:eastAsia="Times New Roman" w:hAnsi="Times New Roman" w:cs="Times New Roman"/>
          <w:i/>
        </w:rPr>
        <w:t>ISSN 2586-</w:t>
      </w:r>
      <w:r w:rsidRPr="0003079B">
        <w:rPr>
          <w:rFonts w:ascii="Times New Roman" w:eastAsia="Times New Roman" w:hAnsi="Times New Roman" w:cs="Times New Roman"/>
          <w:i/>
        </w:rPr>
        <w:t>6478</w:t>
      </w:r>
    </w:p>
    <w:p w14:paraId="6D126479" w14:textId="20773E23" w:rsidR="00DA7719" w:rsidRPr="005B1E1E" w:rsidRDefault="00DA7719" w:rsidP="00DA7719">
      <w:pPr>
        <w:spacing w:line="360" w:lineRule="auto"/>
        <w:rPr>
          <w:rFonts w:hint="eastAsia"/>
          <w:b/>
          <w:sz w:val="28"/>
          <w:szCs w:val="28"/>
          <w:lang w:eastAsia="ko-KR"/>
        </w:rPr>
      </w:pPr>
      <w:r>
        <w:rPr>
          <w:rFonts w:ascii="Times New Roman" w:eastAsia="Times New Roman" w:hAnsi="Times New Roman" w:cs="Times New Roman"/>
          <w:i/>
        </w:rPr>
        <w:t>Journal of International Education</w:t>
      </w:r>
      <w:r>
        <w:rPr>
          <w:rFonts w:ascii="Times New Roman" w:eastAsia="Times New Roman" w:hAnsi="Times New Roman" w:cs="Times New Roman"/>
        </w:rPr>
        <w:t xml:space="preserve"> Vol. </w:t>
      </w:r>
      <w:r w:rsidR="005B1E1E">
        <w:rPr>
          <w:rFonts w:ascii="Times New Roman" w:hAnsi="Times New Roman" w:cs="Times New Roman" w:hint="eastAsia"/>
          <w:lang w:eastAsia="ko-KR"/>
        </w:rPr>
        <w:t>6</w:t>
      </w:r>
      <w:r>
        <w:rPr>
          <w:rFonts w:ascii="Times New Roman" w:eastAsia="Times New Roman" w:hAnsi="Times New Roman" w:cs="Times New Roman"/>
        </w:rPr>
        <w:t>, 202</w:t>
      </w:r>
      <w:r w:rsidR="005B1E1E">
        <w:rPr>
          <w:rFonts w:ascii="Times New Roman" w:hAnsi="Times New Roman" w:cs="Times New Roman" w:hint="eastAsia"/>
          <w:lang w:eastAsia="ko-KR"/>
        </w:rPr>
        <w:t>4</w:t>
      </w:r>
    </w:p>
    <w:p w14:paraId="75A558DC" w14:textId="77777777" w:rsidR="00DA7719" w:rsidRDefault="00DA7719" w:rsidP="00DA7719">
      <w:pPr>
        <w:jc w:val="center"/>
        <w:rPr>
          <w:rFonts w:ascii="Times New Roman" w:hAnsi="Times New Roman" w:cs="Times New Roman"/>
          <w:b/>
          <w:sz w:val="24"/>
          <w:szCs w:val="24"/>
        </w:rPr>
      </w:pPr>
    </w:p>
    <w:p w14:paraId="634EE722" w14:textId="77777777" w:rsidR="00DA7719" w:rsidRDefault="00DA7719" w:rsidP="00DA7719">
      <w:pPr>
        <w:jc w:val="center"/>
        <w:rPr>
          <w:rFonts w:ascii="Times New Roman" w:eastAsia="SimHei" w:hAnsi="Times New Roman" w:cs="Times New Roman"/>
          <w:b/>
          <w:sz w:val="28"/>
          <w:szCs w:val="28"/>
        </w:rPr>
      </w:pPr>
      <w:r>
        <w:rPr>
          <w:rFonts w:ascii="Times New Roman" w:eastAsia="SimHei" w:hAnsi="Times New Roman" w:cs="Times New Roman"/>
          <w:b/>
          <w:sz w:val="28"/>
          <w:szCs w:val="28"/>
        </w:rPr>
        <w:t xml:space="preserve">Comparative Analysis of </w:t>
      </w:r>
      <w:r>
        <w:rPr>
          <w:rFonts w:ascii="Times New Roman" w:eastAsia="SimHei" w:hAnsi="Times New Roman" w:cs="Times New Roman" w:hint="eastAsia"/>
          <w:b/>
          <w:sz w:val="28"/>
          <w:szCs w:val="28"/>
          <w:lang w:eastAsia="zh-CN"/>
        </w:rPr>
        <w:t>China</w:t>
      </w:r>
      <w:r>
        <w:rPr>
          <w:rFonts w:ascii="Times New Roman" w:eastAsia="SimHei" w:hAnsi="Times New Roman" w:cs="Times New Roman"/>
          <w:b/>
          <w:sz w:val="28"/>
          <w:szCs w:val="28"/>
        </w:rPr>
        <w:t xml:space="preserve">-German Vocational Education Model </w:t>
      </w:r>
    </w:p>
    <w:p w14:paraId="6505DCE4" w14:textId="77777777" w:rsidR="00DA7719" w:rsidRDefault="00DA7719" w:rsidP="00DA7719">
      <w:pPr>
        <w:jc w:val="center"/>
        <w:rPr>
          <w:rFonts w:ascii="SimSun" w:eastAsia="SimSun" w:hAnsi="SimSun" w:cs="Times New Roman"/>
          <w:b/>
          <w:bCs/>
          <w:sz w:val="28"/>
          <w:szCs w:val="44"/>
          <w:lang w:eastAsia="zh-TW"/>
        </w:rPr>
      </w:pPr>
      <w:r>
        <w:rPr>
          <w:rFonts w:ascii="SimSun" w:eastAsia="SimSun" w:hAnsi="SimSun" w:cs="Times New Roman" w:hint="eastAsia"/>
          <w:b/>
          <w:bCs/>
          <w:sz w:val="28"/>
          <w:szCs w:val="44"/>
          <w:lang w:eastAsia="zh-TW"/>
        </w:rPr>
        <w:t>中德職業教育模式對比研究</w:t>
      </w:r>
    </w:p>
    <w:p w14:paraId="2CF7F2FE" w14:textId="77777777" w:rsidR="00DA7719" w:rsidRDefault="00DA7719" w:rsidP="00DA7719">
      <w:pPr>
        <w:jc w:val="center"/>
        <w:rPr>
          <w:rFonts w:ascii="SimSun" w:eastAsia="PMingLiU" w:hAnsi="SimSun" w:cs="SimSun"/>
          <w:sz w:val="24"/>
          <w:szCs w:val="24"/>
          <w:lang w:eastAsia="zh-TW"/>
        </w:rPr>
      </w:pPr>
    </w:p>
    <w:p w14:paraId="3F31BDC9" w14:textId="42115C62" w:rsidR="00DA7719" w:rsidRDefault="00691783" w:rsidP="00DA7719">
      <w:pPr>
        <w:jc w:val="center"/>
        <w:rPr>
          <w:rFonts w:ascii="Times New Roman" w:eastAsia="SimSun" w:hAnsi="Times New Roman" w:cs="Times New Roman"/>
          <w:bCs/>
          <w:lang w:eastAsia="zh-TW"/>
        </w:rPr>
      </w:pPr>
      <w:r>
        <w:rPr>
          <w:rFonts w:ascii="SimSun" w:eastAsia="SimSun" w:hAnsi="SimSun" w:cs="SimSun" w:hint="eastAsia"/>
          <w:sz w:val="24"/>
          <w:szCs w:val="24"/>
          <w:lang w:eastAsia="zh-TW"/>
        </w:rPr>
        <w:t>水原</w:t>
      </w:r>
      <w:r>
        <w:rPr>
          <w:rFonts w:ascii="Times New Roman" w:eastAsia="SimSun" w:hAnsi="Times New Roman" w:cs="Times New Roman" w:hint="eastAsia"/>
          <w:sz w:val="24"/>
          <w:szCs w:val="24"/>
          <w:lang w:eastAsia="zh-CN"/>
        </w:rPr>
        <w:t>Shui</w:t>
      </w:r>
      <w:r w:rsidR="00DA7719">
        <w:rPr>
          <w:rFonts w:ascii="Times New Roman" w:eastAsia="Times New Roman" w:hAnsi="Times New Roman" w:cs="Times New Roman"/>
          <w:sz w:val="24"/>
          <w:szCs w:val="24"/>
          <w:lang w:eastAsia="zh-TW"/>
        </w:rPr>
        <w:t xml:space="preserve"> </w:t>
      </w:r>
      <w:r>
        <w:rPr>
          <w:rFonts w:ascii="Times New Roman" w:eastAsia="SimSun" w:hAnsi="Times New Roman" w:cs="Times New Roman" w:hint="eastAsia"/>
          <w:sz w:val="24"/>
          <w:szCs w:val="24"/>
          <w:lang w:eastAsia="zh-CN"/>
        </w:rPr>
        <w:t>Yu</w:t>
      </w:r>
      <w:r w:rsidR="008E6BDA">
        <w:rPr>
          <w:rFonts w:ascii="Times New Roman" w:eastAsia="SimSun" w:hAnsi="Times New Roman" w:cs="Times New Roman"/>
          <w:sz w:val="24"/>
          <w:szCs w:val="24"/>
          <w:lang w:eastAsia="zh-TW"/>
        </w:rPr>
        <w:t>an</w:t>
      </w:r>
    </w:p>
    <w:p w14:paraId="724A94BE" w14:textId="05F2BFD3" w:rsidR="00DA7719" w:rsidRDefault="00691783" w:rsidP="00DA7719">
      <w:pPr>
        <w:jc w:val="center"/>
        <w:rPr>
          <w:rFonts w:ascii="SimSun" w:eastAsia="PMingLiU" w:hAnsi="SimSun" w:cs="HY신명조" w:hint="eastAsia"/>
          <w:sz w:val="24"/>
          <w:lang w:eastAsia="zh-CN"/>
        </w:rPr>
      </w:pPr>
      <w:r>
        <w:rPr>
          <w:rFonts w:ascii="SimSun" w:eastAsia="SimSun" w:hAnsi="SimSun" w:cs="HY신명조" w:hint="eastAsia"/>
          <w:sz w:val="24"/>
          <w:lang w:eastAsia="zh-CN"/>
        </w:rPr>
        <w:t>韓國水原大學國際學院</w:t>
      </w:r>
    </w:p>
    <w:p w14:paraId="32393D3A" w14:textId="77777777" w:rsidR="00DA7719" w:rsidRDefault="00DA7719" w:rsidP="00DA7719">
      <w:pPr>
        <w:jc w:val="center"/>
        <w:rPr>
          <w:rFonts w:ascii="SimSun" w:eastAsia="PMingLiU" w:hAnsi="SimSun" w:cs="HY신명조"/>
          <w:sz w:val="24"/>
          <w:lang w:eastAsia="zh-TW"/>
        </w:rPr>
      </w:pPr>
    </w:p>
    <w:p w14:paraId="58EEABD1" w14:textId="2D58C67B" w:rsidR="00DA7719" w:rsidRPr="00691783" w:rsidRDefault="00691783" w:rsidP="00DA7719">
      <w:pPr>
        <w:jc w:val="center"/>
        <w:rPr>
          <w:rFonts w:ascii="Times New Roman" w:eastAsia="DengXian" w:hAnsi="Times New Roman" w:cs="Times New Roman"/>
          <w:bCs/>
          <w:sz w:val="24"/>
          <w:szCs w:val="24"/>
          <w:lang w:eastAsia="zh-CN"/>
        </w:rPr>
      </w:pPr>
      <w:r w:rsidRPr="00691783">
        <w:rPr>
          <w:rFonts w:ascii="Times New Roman" w:eastAsia="DengXian" w:hAnsi="Times New Roman" w:cs="Times New Roman"/>
          <w:bCs/>
          <w:sz w:val="24"/>
          <w:szCs w:val="24"/>
          <w:lang w:eastAsia="zh-CN"/>
        </w:rPr>
        <w:t>Suwon university</w:t>
      </w:r>
      <w:r w:rsidR="00DA7719" w:rsidRPr="00691783">
        <w:rPr>
          <w:rFonts w:ascii="Times New Roman" w:eastAsia="PMingLiU" w:hAnsi="Times New Roman" w:cs="Times New Roman"/>
          <w:bCs/>
          <w:sz w:val="24"/>
          <w:szCs w:val="24"/>
          <w:lang w:eastAsia="zh-CN"/>
        </w:rPr>
        <w:t xml:space="preserve"> </w:t>
      </w:r>
      <w:r w:rsidRPr="00691783">
        <w:rPr>
          <w:rFonts w:ascii="Times New Roman" w:eastAsia="DengXian" w:hAnsi="Times New Roman" w:cs="Times New Roman"/>
          <w:bCs/>
          <w:sz w:val="24"/>
          <w:szCs w:val="24"/>
          <w:lang w:eastAsia="zh-CN"/>
        </w:rPr>
        <w:t>international</w:t>
      </w:r>
      <w:r w:rsidR="00DA7719" w:rsidRPr="00691783">
        <w:rPr>
          <w:rFonts w:ascii="Times New Roman" w:eastAsia="PMingLiU" w:hAnsi="Times New Roman" w:cs="Times New Roman"/>
          <w:bCs/>
          <w:sz w:val="24"/>
          <w:szCs w:val="24"/>
          <w:lang w:eastAsia="zh-CN"/>
        </w:rPr>
        <w:t xml:space="preserve"> College, </w:t>
      </w:r>
      <w:r w:rsidRPr="00691783">
        <w:rPr>
          <w:rFonts w:ascii="Times New Roman" w:eastAsia="DengXian" w:hAnsi="Times New Roman" w:cs="Times New Roman"/>
          <w:bCs/>
          <w:sz w:val="24"/>
          <w:szCs w:val="24"/>
          <w:lang w:eastAsia="zh-CN"/>
        </w:rPr>
        <w:t>Korea</w:t>
      </w:r>
    </w:p>
    <w:p w14:paraId="57425148" w14:textId="3FAFF058" w:rsidR="00DA7719" w:rsidRDefault="00DA7719" w:rsidP="00DA7719">
      <w:pPr>
        <w:jc w:val="center"/>
        <w:rPr>
          <w:rFonts w:ascii="Times New Roman" w:eastAsia="SimSun" w:hAnsi="Times New Roman" w:cs="Times New Roman"/>
          <w:bCs/>
          <w:sz w:val="24"/>
          <w:szCs w:val="24"/>
          <w:lang w:eastAsia="zh-CN"/>
        </w:rPr>
      </w:pPr>
    </w:p>
    <w:p w14:paraId="263527A0" w14:textId="77777777" w:rsidR="00DA7719" w:rsidRDefault="00DA7719" w:rsidP="00DA7719">
      <w:pPr>
        <w:spacing w:line="259" w:lineRule="auto"/>
        <w:jc w:val="center"/>
        <w:rPr>
          <w:rFonts w:ascii="Times New Roman" w:eastAsia="SimSun" w:hAnsi="Times New Roman" w:cs="Times New Roman"/>
          <w:bCs/>
          <w:sz w:val="24"/>
          <w:szCs w:val="24"/>
          <w:lang w:eastAsia="zh-TW"/>
        </w:rPr>
      </w:pPr>
      <w:r>
        <w:rPr>
          <w:rFonts w:ascii="Times New Roman" w:eastAsia="SimSun" w:hAnsi="Times New Roman" w:cs="Times New Roman"/>
          <w:bCs/>
          <w:sz w:val="24"/>
          <w:szCs w:val="24"/>
          <w:lang w:eastAsia="zh-TW"/>
        </w:rPr>
        <w:t>___________________________________________________________________________</w:t>
      </w:r>
    </w:p>
    <w:p w14:paraId="603DF140" w14:textId="77777777" w:rsidR="00DA7719" w:rsidRDefault="00DA7719" w:rsidP="00DA7719">
      <w:pPr>
        <w:rPr>
          <w:rFonts w:ascii="Times New Roman" w:hAnsi="Times New Roman" w:cs="Times New Roman"/>
          <w:b/>
          <w:i/>
          <w:sz w:val="24"/>
          <w:szCs w:val="24"/>
        </w:rPr>
      </w:pPr>
    </w:p>
    <w:p w14:paraId="435D1312" w14:textId="77777777" w:rsidR="00DA7719" w:rsidRDefault="00DA7719" w:rsidP="00DA7719">
      <w:pPr>
        <w:rPr>
          <w:rFonts w:ascii="Times New Roman" w:hAnsi="Times New Roman" w:cs="Times New Roman"/>
          <w:i/>
          <w:sz w:val="24"/>
          <w:szCs w:val="24"/>
        </w:rPr>
      </w:pPr>
      <w:r>
        <w:rPr>
          <w:rFonts w:ascii="Times New Roman" w:hAnsi="Times New Roman" w:cs="Times New Roman"/>
          <w:b/>
          <w:i/>
          <w:sz w:val="24"/>
          <w:szCs w:val="24"/>
        </w:rPr>
        <w:t>Abstract:</w:t>
      </w:r>
      <w:r>
        <w:rPr>
          <w:rFonts w:ascii="Times New Roman" w:hAnsi="Times New Roman" w:cs="Times New Roman"/>
          <w:i/>
          <w:sz w:val="24"/>
          <w:szCs w:val="24"/>
        </w:rPr>
        <w:t xml:space="preserve"> German vocational education has achieved remarkable achievements since </w:t>
      </w:r>
      <w:r w:rsidRPr="00324559">
        <w:rPr>
          <w:rFonts w:ascii="Times New Roman" w:eastAsia="SimHei" w:hAnsi="Times New Roman" w:cs="Times New Roman"/>
          <w:i/>
          <w:iCs/>
          <w:sz w:val="24"/>
          <w:szCs w:val="24"/>
        </w:rPr>
        <w:t>its</w:t>
      </w:r>
      <w:r w:rsidRPr="00324559">
        <w:rPr>
          <w:rFonts w:ascii="Times New Roman" w:hAnsi="Times New Roman" w:cs="Times New Roman"/>
          <w:i/>
          <w:sz w:val="24"/>
          <w:szCs w:val="24"/>
        </w:rPr>
        <w:t xml:space="preserve"> inception</w:t>
      </w:r>
      <w:r>
        <w:rPr>
          <w:rFonts w:ascii="Times New Roman" w:hAnsi="Times New Roman" w:cs="Times New Roman"/>
          <w:i/>
          <w:sz w:val="24"/>
          <w:szCs w:val="24"/>
        </w:rPr>
        <w:t xml:space="preserve"> </w:t>
      </w:r>
      <w:r w:rsidRPr="00324559">
        <w:rPr>
          <w:rFonts w:ascii="Times New Roman" w:hAnsi="Times New Roman" w:cs="Times New Roman"/>
          <w:i/>
          <w:sz w:val="24"/>
          <w:szCs w:val="24"/>
        </w:rPr>
        <w:t>and</w:t>
      </w:r>
      <w:r>
        <w:rPr>
          <w:rFonts w:ascii="Times New Roman" w:hAnsi="Times New Roman" w:cs="Times New Roman"/>
          <w:i/>
          <w:sz w:val="24"/>
          <w:szCs w:val="24"/>
        </w:rPr>
        <w:t xml:space="preserve"> has formed a scientific vocational education system. With its strong vocational education legal guarantee system, the "dual system" talent training model and the active participation of industry associations, the German economy develop and train a large number of outstanding skilled personnel at all levels. Through the research on the vocational education system under the German "dual system" teaching mode, the differences between vocational education in the curriculum setting, teacher team building, teaching methods and training mode, and educational assessment methods are compared and analyzed, and the advantages of German vocational education are summarized. The characteristics, combined with China's national conditions, provide suggestions for the development of vocational education in China.</w:t>
      </w:r>
    </w:p>
    <w:p w14:paraId="64B165D0" w14:textId="77777777" w:rsidR="00DA7719" w:rsidRDefault="00DA7719" w:rsidP="00DA7719">
      <w:pPr>
        <w:rPr>
          <w:rFonts w:ascii="Times New Roman" w:hAnsi="Times New Roman" w:cs="Times New Roman"/>
          <w:i/>
          <w:sz w:val="24"/>
          <w:szCs w:val="24"/>
        </w:rPr>
      </w:pPr>
    </w:p>
    <w:p w14:paraId="049BD952" w14:textId="77777777" w:rsidR="00DA7719" w:rsidRDefault="00DA7719" w:rsidP="00DA7719">
      <w:pPr>
        <w:rPr>
          <w:rFonts w:ascii="Times New Roman" w:hAnsi="Times New Roman" w:cs="Times New Roman"/>
          <w:i/>
          <w:sz w:val="24"/>
          <w:szCs w:val="24"/>
        </w:rPr>
      </w:pPr>
      <w:r>
        <w:rPr>
          <w:rFonts w:ascii="Times New Roman" w:hAnsi="Times New Roman" w:cs="Times New Roman"/>
          <w:b/>
          <w:i/>
          <w:sz w:val="24"/>
          <w:szCs w:val="24"/>
        </w:rPr>
        <w:t>Keywords:</w:t>
      </w:r>
      <w:r>
        <w:rPr>
          <w:rFonts w:ascii="Times New Roman" w:hAnsi="Times New Roman" w:cs="Times New Roman"/>
          <w:i/>
          <w:sz w:val="24"/>
          <w:szCs w:val="24"/>
        </w:rPr>
        <w:t xml:space="preserve"> comparative analysis, "Double System" education mode, vocational education</w:t>
      </w:r>
    </w:p>
    <w:p w14:paraId="69ECE2D2" w14:textId="77777777" w:rsidR="00DA7719" w:rsidRPr="001771E2" w:rsidRDefault="00DA7719" w:rsidP="00DA7719">
      <w:pPr>
        <w:rPr>
          <w:rFonts w:ascii="Times New Roman" w:hAnsi="Times New Roman" w:cs="Times New Roman"/>
          <w:i/>
          <w:sz w:val="24"/>
          <w:szCs w:val="24"/>
        </w:rPr>
      </w:pPr>
    </w:p>
    <w:p w14:paraId="5330DA41" w14:textId="77777777" w:rsidR="00300868" w:rsidRDefault="00300868" w:rsidP="00DA7719">
      <w:pPr>
        <w:pStyle w:val="a6"/>
        <w:spacing w:line="360" w:lineRule="auto"/>
        <w:ind w:firstLineChars="0" w:firstLine="0"/>
        <w:jc w:val="center"/>
        <w:rPr>
          <w:rFonts w:ascii="SimSun" w:eastAsia="SimSun" w:hAnsi="SimSun"/>
          <w:b/>
          <w:sz w:val="24"/>
          <w:szCs w:val="24"/>
          <w:lang w:val="zh-Hant"/>
        </w:rPr>
      </w:pPr>
    </w:p>
    <w:p w14:paraId="3FC68FCB" w14:textId="45FE9898" w:rsidR="00DA7719" w:rsidRPr="001771E2" w:rsidRDefault="00DA7719" w:rsidP="00DA7719">
      <w:pPr>
        <w:pStyle w:val="a6"/>
        <w:spacing w:line="360" w:lineRule="auto"/>
        <w:ind w:firstLineChars="0" w:firstLine="0"/>
        <w:jc w:val="center"/>
        <w:rPr>
          <w:rFonts w:ascii="SimSun" w:eastAsia="PMingLiU" w:hAnsi="SimSun"/>
          <w:b/>
          <w:sz w:val="24"/>
          <w:szCs w:val="24"/>
          <w:lang w:eastAsia="zh-TW"/>
        </w:rPr>
      </w:pPr>
      <w:r>
        <w:rPr>
          <w:rFonts w:ascii="SimSun" w:eastAsia="SimSun" w:hAnsi="SimSun" w:hint="eastAsia"/>
          <w:b/>
          <w:sz w:val="24"/>
          <w:szCs w:val="24"/>
          <w:lang w:val="zh-Hant" w:eastAsia="zh-TW"/>
        </w:rPr>
        <w:t>Ⅰ.</w:t>
      </w:r>
      <w:r>
        <w:rPr>
          <w:rFonts w:ascii="SimSun" w:eastAsia="SimSun" w:hAnsi="SimSun"/>
          <w:b/>
          <w:sz w:val="24"/>
          <w:szCs w:val="24"/>
          <w:lang w:val="zh-Hant" w:eastAsia="zh-TW"/>
        </w:rPr>
        <w:t>引言</w:t>
      </w:r>
    </w:p>
    <w:p w14:paraId="3F87421A" w14:textId="4B184BAF" w:rsidR="00DA7719" w:rsidRDefault="00DA7719" w:rsidP="00DA7719">
      <w:pPr>
        <w:spacing w:line="360" w:lineRule="auto"/>
        <w:ind w:firstLineChars="200" w:firstLine="480"/>
        <w:rPr>
          <w:rFonts w:ascii="SimSun" w:eastAsia="SimSun" w:hAnsi="SimSun"/>
          <w:sz w:val="24"/>
          <w:szCs w:val="24"/>
          <w:lang w:eastAsia="zh-TW"/>
        </w:rPr>
      </w:pPr>
      <w:r>
        <w:rPr>
          <w:rFonts w:ascii="SimSun" w:eastAsia="SimSun" w:hAnsi="SimSun"/>
          <w:sz w:val="24"/>
          <w:szCs w:val="24"/>
          <w:lang w:val="zh-Hant" w:eastAsia="zh-TW"/>
        </w:rPr>
        <w:t>德國作</w:t>
      </w:r>
      <w:r>
        <w:rPr>
          <w:rFonts w:ascii="SimSun" w:eastAsia="SimSun" w:hAnsi="SimSun" w:cs="새굴림" w:hint="eastAsia"/>
          <w:sz w:val="24"/>
          <w:szCs w:val="24"/>
          <w:lang w:val="zh-Hant" w:eastAsia="zh-TW"/>
        </w:rPr>
        <w:t>為</w:t>
      </w:r>
      <w:r>
        <w:rPr>
          <w:rFonts w:ascii="SimSun" w:eastAsia="SimSun" w:hAnsi="SimSun" w:cs="맑은 고딕" w:hint="eastAsia"/>
          <w:sz w:val="24"/>
          <w:szCs w:val="24"/>
          <w:lang w:val="zh-Hant" w:eastAsia="zh-TW"/>
        </w:rPr>
        <w:t>世界上經濟和科學最發達的國家之一，雙元制的職業</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育模式等德國勞動者的高素質、</w:t>
      </w:r>
      <w:r>
        <w:rPr>
          <w:rFonts w:ascii="SimSun" w:eastAsia="SimSun" w:hAnsi="SimSun" w:cs="새굴림" w:hint="eastAsia"/>
          <w:sz w:val="24"/>
          <w:szCs w:val="24"/>
          <w:lang w:val="zh-Hant" w:eastAsia="zh-TW"/>
        </w:rPr>
        <w:t>產</w:t>
      </w:r>
      <w:r>
        <w:rPr>
          <w:rFonts w:ascii="SimSun" w:eastAsia="SimSun" w:hAnsi="SimSun" w:cs="맑은 고딕" w:hint="eastAsia"/>
          <w:sz w:val="24"/>
          <w:szCs w:val="24"/>
          <w:lang w:val="zh-Hant" w:eastAsia="zh-TW"/>
        </w:rPr>
        <w:t>品高品質以及德國在國際上的持久競爭力都有重要的作用。</w:t>
      </w:r>
    </w:p>
    <w:p w14:paraId="42FFB3BD" w14:textId="77777777" w:rsidR="00DA7719" w:rsidRPr="001771E2" w:rsidRDefault="00DA7719" w:rsidP="00DA7719">
      <w:pPr>
        <w:spacing w:line="360" w:lineRule="auto"/>
        <w:ind w:firstLineChars="200" w:firstLine="480"/>
        <w:rPr>
          <w:rFonts w:ascii="SimSun" w:eastAsia="PMingLiU" w:hAnsi="SimSun"/>
          <w:sz w:val="24"/>
          <w:szCs w:val="24"/>
          <w:lang w:eastAsia="zh-TW"/>
        </w:rPr>
      </w:pPr>
    </w:p>
    <w:p w14:paraId="669F40C2" w14:textId="77777777" w:rsidR="00DA7719" w:rsidRDefault="00DA7719" w:rsidP="00DA7719">
      <w:pPr>
        <w:pStyle w:val="a6"/>
        <w:spacing w:line="360" w:lineRule="auto"/>
        <w:ind w:firstLineChars="0" w:firstLine="0"/>
        <w:jc w:val="center"/>
        <w:rPr>
          <w:rFonts w:ascii="SimSun" w:eastAsia="SimSun" w:hAnsi="SimSun"/>
          <w:b/>
          <w:sz w:val="24"/>
          <w:szCs w:val="24"/>
          <w:lang w:eastAsia="zh-TW"/>
        </w:rPr>
      </w:pPr>
      <w:r>
        <w:rPr>
          <w:rFonts w:ascii="SimSun" w:eastAsia="SimSun" w:hAnsi="SimSun" w:hint="eastAsia"/>
          <w:b/>
          <w:sz w:val="24"/>
          <w:szCs w:val="24"/>
          <w:lang w:val="zh-Hant" w:eastAsia="zh-TW"/>
        </w:rPr>
        <w:t>Ⅱ</w:t>
      </w:r>
      <w:r>
        <w:rPr>
          <w:rFonts w:ascii="SimSun" w:eastAsia="SimSun" w:hAnsi="SimSun"/>
          <w:b/>
          <w:sz w:val="24"/>
          <w:szCs w:val="24"/>
          <w:lang w:val="zh-Hant" w:eastAsia="zh-TW"/>
        </w:rPr>
        <w:t>.德國</w:t>
      </w:r>
      <w:r>
        <w:rPr>
          <w:rFonts w:ascii="SimSun" w:eastAsia="SimSun" w:hAnsi="SimSun" w:hint="eastAsia"/>
          <w:b/>
          <w:sz w:val="24"/>
          <w:szCs w:val="24"/>
          <w:lang w:val="zh-Hant" w:eastAsia="zh-TW"/>
        </w:rPr>
        <w:t>“</w:t>
      </w:r>
      <w:r>
        <w:rPr>
          <w:rFonts w:ascii="SimSun" w:eastAsia="SimSun" w:hAnsi="SimSun"/>
          <w:b/>
          <w:sz w:val="24"/>
          <w:szCs w:val="24"/>
          <w:lang w:val="zh-Hant" w:eastAsia="zh-TW"/>
        </w:rPr>
        <w:t>雙元制”教育模式的含義</w:t>
      </w:r>
    </w:p>
    <w:p w14:paraId="06845049" w14:textId="37056F98" w:rsidR="00691783" w:rsidRDefault="00DA7719" w:rsidP="00691783">
      <w:pPr>
        <w:spacing w:line="360" w:lineRule="auto"/>
        <w:ind w:firstLineChars="150" w:firstLine="360"/>
        <w:rPr>
          <w:rFonts w:ascii="SimSun" w:eastAsia="SimSun" w:hAnsi="SimSun"/>
          <w:sz w:val="24"/>
          <w:szCs w:val="24"/>
          <w:lang w:eastAsia="zh-TW"/>
        </w:rPr>
      </w:pPr>
      <w:r>
        <w:rPr>
          <w:rFonts w:ascii="SimSun" w:eastAsia="SimSun" w:hAnsi="SimSun"/>
          <w:sz w:val="24"/>
          <w:szCs w:val="24"/>
          <w:lang w:val="zh-Hant" w:eastAsia="zh-TW"/>
        </w:rPr>
        <w:t>“雙元制”職業</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育是指學生</w:t>
      </w:r>
      <w:r>
        <w:rPr>
          <w:rFonts w:ascii="SimSun" w:eastAsia="SimSun" w:hAnsi="SimSun" w:cs="새굴림" w:hint="eastAsia"/>
          <w:sz w:val="24"/>
          <w:szCs w:val="24"/>
          <w:lang w:val="zh-Hant" w:eastAsia="zh-TW"/>
        </w:rPr>
        <w:t>既</w:t>
      </w:r>
      <w:r>
        <w:rPr>
          <w:rFonts w:ascii="SimSun" w:eastAsia="SimSun" w:hAnsi="SimSun" w:cs="맑은 고딕" w:hint="eastAsia"/>
          <w:sz w:val="24"/>
          <w:szCs w:val="24"/>
          <w:lang w:val="zh-Hant" w:eastAsia="zh-TW"/>
        </w:rPr>
        <w:t>在公司里接受職業技能和與之相關的專業知識培訓，又在職業院校里接受職業專業課程理論和基礎文化知識的</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育</w:t>
      </w:r>
      <w:r w:rsidR="00A95537" w:rsidRPr="005B1E1E">
        <w:rPr>
          <w:rFonts w:ascii="SimSun" w:eastAsia="SimSun" w:hAnsi="SimSun" w:cs="Times New Roman" w:hint="eastAsia"/>
          <w:sz w:val="24"/>
          <w:szCs w:val="24"/>
          <w:lang w:eastAsia="zh-TW"/>
        </w:rPr>
        <w:t>(</w:t>
      </w:r>
      <w:r w:rsidR="00A95537" w:rsidRPr="005B1E1E">
        <w:rPr>
          <w:rFonts w:ascii="SimSun" w:eastAsia="SimSun" w:hAnsi="SimSun" w:cs="Times New Roman"/>
          <w:sz w:val="24"/>
          <w:szCs w:val="24"/>
          <w:lang w:eastAsia="zh-TW"/>
        </w:rPr>
        <w:t>崔岩</w:t>
      </w:r>
      <w:r w:rsidR="00A95537" w:rsidRPr="005B1E1E">
        <w:rPr>
          <w:rFonts w:ascii="SimSun" w:eastAsia="SimSun" w:hAnsi="SimSun" w:cs="Times New Roman" w:hint="eastAsia"/>
          <w:sz w:val="24"/>
          <w:szCs w:val="24"/>
          <w:lang w:eastAsia="zh-TW"/>
        </w:rPr>
        <w:t>,</w:t>
      </w:r>
      <w:r w:rsidR="00A95537" w:rsidRPr="005B1E1E">
        <w:rPr>
          <w:rFonts w:ascii="SimSun" w:eastAsia="SimSun" w:hAnsi="SimSun" w:cs="Times New Roman"/>
          <w:sz w:val="24"/>
          <w:szCs w:val="24"/>
          <w:lang w:eastAsia="zh-TW"/>
        </w:rPr>
        <w:t>2014)</w:t>
      </w:r>
      <w:r>
        <w:rPr>
          <w:rFonts w:ascii="SimSun" w:eastAsia="SimSun" w:hAnsi="SimSun" w:cs="맑은 고딕" w:hint="eastAsia"/>
          <w:sz w:val="24"/>
          <w:szCs w:val="24"/>
          <w:lang w:val="zh-Hant" w:eastAsia="zh-TW"/>
        </w:rPr>
        <w:t>。</w:t>
      </w:r>
    </w:p>
    <w:p w14:paraId="3B3AC283" w14:textId="60B6E000" w:rsidR="00DA7719" w:rsidRDefault="00DA7719" w:rsidP="00DA7719">
      <w:pPr>
        <w:pStyle w:val="a6"/>
        <w:spacing w:line="360" w:lineRule="auto"/>
        <w:ind w:firstLineChars="150" w:firstLine="360"/>
        <w:rPr>
          <w:rFonts w:ascii="SimSun" w:eastAsia="SimSun" w:hAnsi="SimSun"/>
          <w:sz w:val="24"/>
          <w:szCs w:val="24"/>
          <w:lang w:eastAsia="zh-TW"/>
        </w:rPr>
      </w:pPr>
    </w:p>
    <w:p w14:paraId="5844E4F2" w14:textId="77777777" w:rsidR="00DA7719" w:rsidRDefault="00DA7719" w:rsidP="00DA7719">
      <w:pPr>
        <w:spacing w:line="360" w:lineRule="auto"/>
        <w:ind w:firstLineChars="150" w:firstLine="361"/>
        <w:rPr>
          <w:rFonts w:ascii="SimSun" w:eastAsia="SimSun" w:hAnsi="SimSun"/>
          <w:b/>
          <w:sz w:val="24"/>
          <w:szCs w:val="24"/>
          <w:lang w:eastAsia="zh-TW"/>
        </w:rPr>
      </w:pPr>
      <w:r>
        <w:rPr>
          <w:rFonts w:ascii="SimSun" w:eastAsia="SimSun" w:hAnsi="SimSun"/>
          <w:b/>
          <w:sz w:val="24"/>
          <w:szCs w:val="24"/>
          <w:lang w:val="zh-Hant" w:eastAsia="zh-TW"/>
        </w:rPr>
        <w:t>1.</w:t>
      </w:r>
      <w:r>
        <w:rPr>
          <w:rFonts w:ascii="SimSun" w:eastAsia="SimSun" w:hAnsi="SimSun" w:cs="새굴림" w:hint="eastAsia"/>
          <w:b/>
          <w:sz w:val="24"/>
          <w:szCs w:val="24"/>
          <w:lang w:val="zh-Hant" w:eastAsia="zh-TW"/>
        </w:rPr>
        <w:t>教</w:t>
      </w:r>
      <w:r>
        <w:rPr>
          <w:rFonts w:ascii="SimSun" w:eastAsia="SimSun" w:hAnsi="SimSun" w:cs="맑은 고딕" w:hint="eastAsia"/>
          <w:b/>
          <w:sz w:val="24"/>
          <w:szCs w:val="24"/>
          <w:lang w:val="zh-Hant" w:eastAsia="zh-TW"/>
        </w:rPr>
        <w:t>師隊伍結構方面</w:t>
      </w:r>
    </w:p>
    <w:p w14:paraId="660FEB15" w14:textId="77777777" w:rsidR="00DA7719" w:rsidRDefault="00DA7719" w:rsidP="00DA7719">
      <w:pPr>
        <w:pStyle w:val="a6"/>
        <w:spacing w:line="360" w:lineRule="auto"/>
        <w:ind w:firstLineChars="0" w:firstLine="0"/>
        <w:rPr>
          <w:rFonts w:ascii="SimSun" w:eastAsia="SimSun" w:hAnsi="SimSun"/>
          <w:bCs/>
          <w:sz w:val="24"/>
          <w:szCs w:val="24"/>
          <w:lang w:eastAsia="zh-TW"/>
        </w:rPr>
      </w:pPr>
      <w:r>
        <w:rPr>
          <w:rFonts w:ascii="SimSun" w:eastAsia="SimSun" w:hAnsi="SimSun"/>
          <w:bCs/>
          <w:sz w:val="24"/>
          <w:szCs w:val="24"/>
          <w:lang w:val="zh-Hant" w:eastAsia="zh-TW"/>
        </w:rPr>
        <w:t xml:space="preserve">   </w:t>
      </w:r>
      <w:r>
        <w:rPr>
          <w:rFonts w:ascii="SimSun" w:eastAsia="SimSun" w:hAnsi="SimSun" w:hint="eastAsia"/>
          <w:bCs/>
          <w:sz w:val="24"/>
          <w:szCs w:val="24"/>
          <w:lang w:val="zh-Hant" w:eastAsia="zh-TW"/>
        </w:rPr>
        <w:t>1)中國</w:t>
      </w:r>
      <w:r>
        <w:rPr>
          <w:rFonts w:ascii="SimSun" w:eastAsia="SimSun" w:hAnsi="SimSun"/>
          <w:bCs/>
          <w:sz w:val="24"/>
          <w:szCs w:val="24"/>
          <w:lang w:val="zh-Hant" w:eastAsia="zh-TW"/>
        </w:rPr>
        <w:t>高職教育中教師隊伍建設</w:t>
      </w:r>
    </w:p>
    <w:p w14:paraId="0BBA764C" w14:textId="4F732F42" w:rsidR="00DA7719" w:rsidRDefault="00DA7719" w:rsidP="00DA7719">
      <w:pPr>
        <w:spacing w:line="360" w:lineRule="auto"/>
        <w:ind w:firstLineChars="200" w:firstLine="480"/>
        <w:rPr>
          <w:rFonts w:ascii="SimSun" w:eastAsia="SimSun" w:hAnsi="SimSun"/>
          <w:sz w:val="24"/>
          <w:szCs w:val="24"/>
          <w:lang w:eastAsia="zh-TW"/>
        </w:rPr>
      </w:pPr>
      <w:r>
        <w:rPr>
          <w:rFonts w:ascii="SimSun" w:eastAsia="SimSun" w:hAnsi="SimSun" w:cs="새굴림" w:hint="eastAsia"/>
          <w:sz w:val="24"/>
          <w:szCs w:val="24"/>
          <w:lang w:val="zh-Hant" w:eastAsia="zh-TW"/>
        </w:rPr>
        <w:lastRenderedPageBreak/>
        <w:t>研</w:t>
      </w:r>
      <w:r>
        <w:rPr>
          <w:rFonts w:ascii="SimSun" w:eastAsia="SimSun" w:hAnsi="SimSun" w:cs="맑은 고딕" w:hint="eastAsia"/>
          <w:sz w:val="24"/>
          <w:szCs w:val="24"/>
          <w:lang w:val="zh-Hant" w:eastAsia="zh-TW"/>
        </w:rPr>
        <w:t>究表明，中國高職院校中出現很多學生只能分配到一個“雙師型”</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師的情況，</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師隊伍的嚴重不足，造成很多專業發展受限，影響了學生實踐技能的提高，阻礙了高職院校的發展。</w:t>
      </w:r>
    </w:p>
    <w:p w14:paraId="0B590A25" w14:textId="77777777" w:rsidR="00DA7719" w:rsidRDefault="00DA7719" w:rsidP="00DA7719">
      <w:pPr>
        <w:pStyle w:val="a6"/>
        <w:spacing w:line="360" w:lineRule="auto"/>
        <w:ind w:firstLineChars="200" w:firstLine="480"/>
        <w:rPr>
          <w:rFonts w:ascii="SimSun" w:eastAsia="SimSun" w:hAnsi="SimSun"/>
          <w:bCs/>
          <w:sz w:val="24"/>
          <w:szCs w:val="24"/>
          <w:lang w:eastAsia="zh-TW"/>
        </w:rPr>
      </w:pPr>
      <w:r>
        <w:rPr>
          <w:rFonts w:ascii="SimSun" w:eastAsia="SimSun" w:hAnsi="SimSun"/>
          <w:bCs/>
          <w:sz w:val="24"/>
          <w:szCs w:val="24"/>
          <w:lang w:val="zh-Hant" w:eastAsia="zh-TW"/>
        </w:rPr>
        <w:t>2</w:t>
      </w:r>
      <w:r>
        <w:rPr>
          <w:rFonts w:ascii="SimSun" w:eastAsia="SimSun" w:hAnsi="SimSun" w:hint="eastAsia"/>
          <w:bCs/>
          <w:sz w:val="24"/>
          <w:szCs w:val="24"/>
          <w:lang w:val="zh-Hant" w:eastAsia="zh-TW"/>
        </w:rPr>
        <w:t>)</w:t>
      </w:r>
      <w:r>
        <w:rPr>
          <w:rFonts w:ascii="SimSun" w:eastAsia="SimSun" w:hAnsi="SimSun"/>
          <w:bCs/>
          <w:sz w:val="24"/>
          <w:szCs w:val="24"/>
          <w:lang w:val="zh-Hant" w:eastAsia="zh-TW"/>
        </w:rPr>
        <w:t xml:space="preserve"> 德國高職院校教師隊伍結構</w:t>
      </w:r>
    </w:p>
    <w:p w14:paraId="514FBF6E" w14:textId="77777777" w:rsidR="00DA7719" w:rsidRDefault="00DA7719" w:rsidP="00DA7719">
      <w:pPr>
        <w:spacing w:line="360" w:lineRule="auto"/>
        <w:ind w:firstLineChars="200" w:firstLine="480"/>
        <w:rPr>
          <w:rFonts w:ascii="SimSun" w:eastAsia="SimSun" w:hAnsi="SimSun"/>
          <w:bCs/>
          <w:sz w:val="24"/>
          <w:szCs w:val="24"/>
          <w:lang w:eastAsia="zh-TW"/>
        </w:rPr>
      </w:pPr>
      <w:r>
        <w:rPr>
          <w:rFonts w:ascii="SimSun" w:eastAsia="SimSun" w:hAnsi="SimSun"/>
          <w:bCs/>
          <w:sz w:val="24"/>
          <w:szCs w:val="24"/>
          <w:lang w:val="zh-Hant" w:eastAsia="zh-TW"/>
        </w:rPr>
        <w:t>3</w:t>
      </w:r>
      <w:r>
        <w:rPr>
          <w:rFonts w:ascii="SimSun" w:eastAsia="SimSun" w:hAnsi="SimSun" w:hint="eastAsia"/>
          <w:bCs/>
          <w:sz w:val="24"/>
          <w:szCs w:val="24"/>
          <w:lang w:val="zh-Hant" w:eastAsia="zh-TW"/>
        </w:rPr>
        <w:t>)</w:t>
      </w:r>
      <w:r>
        <w:rPr>
          <w:rFonts w:ascii="SimSun" w:eastAsia="SimSun" w:hAnsi="SimSun"/>
          <w:bCs/>
          <w:sz w:val="24"/>
          <w:szCs w:val="24"/>
          <w:lang w:val="zh-Hant" w:eastAsia="zh-TW"/>
        </w:rPr>
        <w:t>對比中德的</w:t>
      </w:r>
      <w:r>
        <w:rPr>
          <w:rFonts w:ascii="SimSun" w:eastAsia="SimSun" w:hAnsi="SimSun" w:cs="새굴림" w:hint="eastAsia"/>
          <w:bCs/>
          <w:sz w:val="24"/>
          <w:szCs w:val="24"/>
          <w:lang w:val="zh-Hant" w:eastAsia="zh-TW"/>
        </w:rPr>
        <w:t>教</w:t>
      </w:r>
      <w:r>
        <w:rPr>
          <w:rFonts w:ascii="SimSun" w:eastAsia="SimSun" w:hAnsi="SimSun" w:cs="맑은 고딕" w:hint="eastAsia"/>
          <w:bCs/>
          <w:sz w:val="24"/>
          <w:szCs w:val="24"/>
          <w:lang w:val="zh-Hant" w:eastAsia="zh-TW"/>
        </w:rPr>
        <w:t>師准入條件和資格設定</w:t>
      </w:r>
    </w:p>
    <w:p w14:paraId="7B6FCF46" w14:textId="77777777" w:rsidR="00DA7719" w:rsidRDefault="00DA7719" w:rsidP="00A95537">
      <w:pPr>
        <w:pStyle w:val="a6"/>
        <w:spacing w:line="360" w:lineRule="auto"/>
        <w:ind w:firstLineChars="216" w:firstLine="518"/>
        <w:rPr>
          <w:rFonts w:ascii="SimSun" w:eastAsia="SimSun" w:hAnsi="SimSun"/>
          <w:bCs/>
          <w:sz w:val="24"/>
          <w:szCs w:val="24"/>
          <w:lang w:eastAsia="zh-TW"/>
        </w:rPr>
      </w:pPr>
      <w:r>
        <w:rPr>
          <w:rFonts w:ascii="SimSun" w:eastAsia="SimSun" w:hAnsi="SimSun" w:hint="eastAsia"/>
          <w:bCs/>
          <w:sz w:val="24"/>
          <w:szCs w:val="24"/>
          <w:lang w:val="zh-Hant" w:eastAsia="zh-TW"/>
        </w:rPr>
        <w:t>(1)</w:t>
      </w:r>
      <w:r>
        <w:rPr>
          <w:rFonts w:ascii="SimSun" w:eastAsia="SimSun" w:hAnsi="SimSun"/>
          <w:bCs/>
          <w:sz w:val="24"/>
          <w:szCs w:val="24"/>
          <w:lang w:val="zh-Hant" w:eastAsia="zh-TW"/>
        </w:rPr>
        <w:t>報考資格方面</w:t>
      </w:r>
    </w:p>
    <w:p w14:paraId="0B6FBB5A" w14:textId="77777777" w:rsidR="00DA7719" w:rsidRDefault="00DA7719" w:rsidP="00A95537">
      <w:pPr>
        <w:spacing w:line="360" w:lineRule="auto"/>
        <w:ind w:firstLineChars="200" w:firstLine="480"/>
        <w:rPr>
          <w:rFonts w:ascii="SimSun" w:eastAsia="SimSun" w:hAnsi="SimSun"/>
          <w:sz w:val="24"/>
          <w:szCs w:val="24"/>
          <w:lang w:eastAsia="zh-TW"/>
        </w:rPr>
      </w:pPr>
      <w:r>
        <w:rPr>
          <w:rFonts w:ascii="SimSun" w:eastAsia="SimSun" w:hAnsi="SimSun"/>
          <w:sz w:val="24"/>
          <w:szCs w:val="24"/>
          <w:lang w:val="zh-Hant" w:eastAsia="zh-TW"/>
        </w:rPr>
        <w:t>德國聯邦政府出臺各項相關法律法規，規定專任</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師必須具備的人品資質和專業資質，各州考試委員會也嚴格規定了考試門檻，而中國對於這一考試所設置的門檻很低，幾乎是滿足了大眾化的應聘意願和考試需求。</w:t>
      </w:r>
    </w:p>
    <w:p w14:paraId="5873162E" w14:textId="77777777" w:rsidR="00DA7719" w:rsidRDefault="00DA7719" w:rsidP="00A95537">
      <w:pPr>
        <w:pStyle w:val="a6"/>
        <w:spacing w:line="360" w:lineRule="auto"/>
        <w:ind w:firstLineChars="216" w:firstLine="518"/>
        <w:rPr>
          <w:rFonts w:ascii="SimSun" w:eastAsia="SimSun" w:hAnsi="SimSun"/>
          <w:bCs/>
          <w:sz w:val="24"/>
          <w:szCs w:val="24"/>
          <w:lang w:eastAsia="zh-TW"/>
        </w:rPr>
      </w:pPr>
      <w:r>
        <w:rPr>
          <w:rFonts w:ascii="SimSun" w:eastAsia="SimSun" w:hAnsi="SimSun" w:hint="eastAsia"/>
          <w:bCs/>
          <w:sz w:val="24"/>
          <w:szCs w:val="24"/>
          <w:lang w:val="zh-Hant" w:eastAsia="zh-TW"/>
        </w:rPr>
        <w:t>(2)</w:t>
      </w:r>
      <w:r>
        <w:rPr>
          <w:rFonts w:ascii="SimSun" w:eastAsia="SimSun" w:hAnsi="SimSun"/>
          <w:bCs/>
          <w:sz w:val="24"/>
          <w:szCs w:val="24"/>
          <w:lang w:val="zh-Hant" w:eastAsia="zh-TW"/>
        </w:rPr>
        <w:t>教師引進的標準制定方面</w:t>
      </w:r>
    </w:p>
    <w:p w14:paraId="111F4D1F" w14:textId="6C6037B1" w:rsidR="00DA7719" w:rsidRDefault="00DA7719" w:rsidP="00A95537">
      <w:pPr>
        <w:spacing w:line="360" w:lineRule="auto"/>
        <w:ind w:firstLineChars="200" w:firstLine="480"/>
        <w:rPr>
          <w:rFonts w:ascii="SimSun" w:eastAsia="SimSun" w:hAnsi="SimSun"/>
          <w:sz w:val="24"/>
          <w:szCs w:val="24"/>
          <w:lang w:eastAsia="zh-TW"/>
        </w:rPr>
      </w:pPr>
      <w:r>
        <w:rPr>
          <w:rFonts w:ascii="SimSun" w:eastAsia="SimSun" w:hAnsi="SimSun"/>
          <w:sz w:val="24"/>
          <w:szCs w:val="24"/>
          <w:lang w:val="zh-Hant" w:eastAsia="zh-TW"/>
        </w:rPr>
        <w:t>德國重視職業</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育的發展，而職業</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育的一大主體</w:t>
      </w:r>
      <w:r>
        <w:rPr>
          <w:rFonts w:ascii="SimSun" w:eastAsia="SimSun" w:hAnsi="SimSun"/>
          <w:sz w:val="24"/>
          <w:szCs w:val="24"/>
          <w:lang w:val="zh-Hant" w:eastAsia="zh-TW"/>
        </w:rPr>
        <w:t>-</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師，其在人才培養工作中承擔的責任重大，因此德國聯邦政府和</w:t>
      </w:r>
      <w:r>
        <w:rPr>
          <w:rFonts w:ascii="SimSun" w:eastAsia="SimSun" w:hAnsi="SimSun"/>
          <w:sz w:val="24"/>
          <w:szCs w:val="24"/>
          <w:lang w:val="zh-Hant" w:eastAsia="zh-TW"/>
        </w:rPr>
        <w:t>各州政府在不同時期均出臺了相關的法律政策對申請者的報考條件和考核流程進行嚴格的把控，以保證職業院校</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師隊伍的整體品質</w:t>
      </w:r>
      <w:r>
        <w:rPr>
          <w:rFonts w:ascii="SimSun" w:eastAsia="SimSun" w:hAnsi="SimSun"/>
          <w:sz w:val="24"/>
          <w:szCs w:val="24"/>
          <w:lang w:val="zh-Hant" w:eastAsia="zh-TW"/>
        </w:rPr>
        <w:t>。而在中國各個高職院校也沒有形成一套明確的准入標準，很難確保</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師的質量和</w:t>
      </w:r>
      <w:r>
        <w:rPr>
          <w:rFonts w:ascii="SimSun" w:eastAsia="SimSun" w:hAnsi="SimSun" w:cs="새굴림" w:hint="eastAsia"/>
          <w:sz w:val="24"/>
          <w:szCs w:val="24"/>
          <w:lang w:val="zh-Hant" w:eastAsia="zh-TW"/>
        </w:rPr>
        <w:t>教</w:t>
      </w:r>
      <w:r>
        <w:rPr>
          <w:rFonts w:ascii="SimSun" w:eastAsia="SimSun" w:hAnsi="SimSun" w:cs="맑은 고딕" w:hint="eastAsia"/>
          <w:sz w:val="24"/>
          <w:szCs w:val="24"/>
          <w:lang w:val="zh-Hant" w:eastAsia="zh-TW"/>
        </w:rPr>
        <w:t>師。</w:t>
      </w:r>
    </w:p>
    <w:p w14:paraId="78DE5DA6" w14:textId="2AF9EF49" w:rsidR="00DA7719" w:rsidRPr="00300868" w:rsidRDefault="00300868" w:rsidP="00300868">
      <w:pPr>
        <w:spacing w:line="360" w:lineRule="auto"/>
        <w:ind w:firstLineChars="200" w:firstLine="482"/>
        <w:jc w:val="center"/>
        <w:rPr>
          <w:rFonts w:ascii="SimSun" w:eastAsia="SimSun" w:hAnsi="SimSun"/>
          <w:b/>
          <w:bCs/>
          <w:sz w:val="24"/>
          <w:szCs w:val="24"/>
          <w:lang w:eastAsia="zh-TW"/>
        </w:rPr>
      </w:pPr>
      <w:r w:rsidRPr="00300868">
        <w:rPr>
          <w:rFonts w:ascii="SimSun" w:eastAsia="SimSun" w:hAnsi="SimSun" w:hint="eastAsia"/>
          <w:b/>
          <w:bCs/>
          <w:sz w:val="24"/>
          <w:szCs w:val="24"/>
          <w:lang w:eastAsia="zh-TW"/>
        </w:rPr>
        <w:t>表格</w:t>
      </w:r>
    </w:p>
    <w:p w14:paraId="08947BE4" w14:textId="6F6C9315" w:rsidR="00300868" w:rsidRPr="00300868" w:rsidRDefault="00300868" w:rsidP="00300868">
      <w:pPr>
        <w:jc w:val="center"/>
        <w:rPr>
          <w:rFonts w:ascii="Times New Roman" w:eastAsia="DengXian" w:hAnsi="Times New Roman" w:cs="Times New Roman" w:hint="eastAsia"/>
          <w:sz w:val="24"/>
          <w:szCs w:val="24"/>
          <w:lang w:eastAsia="zh-CN"/>
        </w:rPr>
      </w:pPr>
      <w:r w:rsidRPr="00CE4FEB">
        <w:rPr>
          <w:rFonts w:ascii="Times New Roman" w:hAnsi="Times New Roman" w:cs="Times New Roman"/>
          <w:noProof/>
        </w:rPr>
        <w:drawing>
          <wp:inline distT="0" distB="0" distL="0" distR="0" wp14:anchorId="04894030" wp14:editId="2070377F">
            <wp:extent cx="3454352" cy="1907931"/>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43618822" w14:textId="77777777" w:rsidR="00300868" w:rsidRDefault="00300868" w:rsidP="00300868">
      <w:pPr>
        <w:jc w:val="center"/>
        <w:rPr>
          <w:rFonts w:ascii="Times New Roman" w:hAnsi="Times New Roman" w:cs="Times New Roman"/>
          <w:b/>
        </w:rPr>
      </w:pPr>
      <w:r w:rsidRPr="00AD0A3A">
        <w:rPr>
          <w:rFonts w:ascii="Times New Roman" w:hAnsi="Times New Roman" w:cs="Times New Roman"/>
          <w:b/>
        </w:rPr>
        <w:t>Figure1.1: Details of manuscript font size</w:t>
      </w:r>
    </w:p>
    <w:p w14:paraId="0E2012F8" w14:textId="77777777" w:rsidR="00300868" w:rsidRPr="00300868" w:rsidRDefault="00300868" w:rsidP="00300868">
      <w:pPr>
        <w:spacing w:after="120"/>
        <w:rPr>
          <w:rFonts w:asciiTheme="majorBidi" w:eastAsia="DengXian" w:hAnsiTheme="majorBidi" w:cstheme="majorBidi" w:hint="eastAsia"/>
          <w:sz w:val="24"/>
          <w:szCs w:val="24"/>
          <w:lang w:eastAsia="zh-CN"/>
        </w:rPr>
      </w:pPr>
    </w:p>
    <w:p w14:paraId="7CF68AA8" w14:textId="77777777" w:rsidR="00300868" w:rsidRPr="00AD0A3A" w:rsidRDefault="00300868" w:rsidP="00300868">
      <w:pPr>
        <w:jc w:val="center"/>
        <w:rPr>
          <w:rFonts w:ascii="Times New Roman" w:hAnsi="Times New Roman" w:cs="Times New Roman"/>
          <w:b/>
        </w:rPr>
      </w:pPr>
      <w:r w:rsidRPr="00AD0A3A">
        <w:rPr>
          <w:rFonts w:ascii="Times New Roman" w:hAnsi="Times New Roman" w:cs="Times New Roman"/>
          <w:b/>
        </w:rPr>
        <w:t>Table1.1. Deta</w:t>
      </w:r>
      <w:r>
        <w:rPr>
          <w:rFonts w:ascii="Times New Roman" w:hAnsi="Times New Roman" w:cs="Times New Roman"/>
          <w:b/>
        </w:rPr>
        <w:t>ils of paper settings for JIE</w:t>
      </w:r>
      <w:r w:rsidRPr="00AD0A3A">
        <w:rPr>
          <w:rFonts w:ascii="Times New Roman" w:hAnsi="Times New Roman" w:cs="Times New Roman"/>
          <w:b/>
        </w:rPr>
        <w:t xml:space="preserve"> journal</w:t>
      </w:r>
    </w:p>
    <w:tbl>
      <w:tblPr>
        <w:tblStyle w:val="ab"/>
        <w:tblW w:w="0" w:type="auto"/>
        <w:jc w:val="center"/>
        <w:tblLook w:val="04A0" w:firstRow="1" w:lastRow="0" w:firstColumn="1" w:lastColumn="0" w:noHBand="0" w:noVBand="1"/>
      </w:tblPr>
      <w:tblGrid>
        <w:gridCol w:w="2037"/>
        <w:gridCol w:w="2171"/>
        <w:gridCol w:w="847"/>
        <w:gridCol w:w="1214"/>
      </w:tblGrid>
      <w:tr w:rsidR="00300868" w14:paraId="689E8B50" w14:textId="77777777" w:rsidTr="00C275FA">
        <w:trPr>
          <w:trHeight w:val="125"/>
          <w:jc w:val="center"/>
        </w:trPr>
        <w:tc>
          <w:tcPr>
            <w:tcW w:w="2037" w:type="dxa"/>
            <w:vAlign w:val="center"/>
          </w:tcPr>
          <w:p w14:paraId="19325023" w14:textId="77777777" w:rsidR="00300868" w:rsidRPr="00B72206" w:rsidRDefault="00300868" w:rsidP="00C275FA">
            <w:pPr>
              <w:spacing w:line="276" w:lineRule="auto"/>
              <w:jc w:val="center"/>
              <w:rPr>
                <w:rFonts w:ascii="Times New Roman" w:hAnsi="Times New Roman" w:cs="Times New Roman"/>
                <w:b/>
                <w:sz w:val="20"/>
              </w:rPr>
            </w:pPr>
            <w:r w:rsidRPr="00B72206">
              <w:rPr>
                <w:rFonts w:ascii="Times New Roman" w:hAnsi="Times New Roman" w:cs="Times New Roman"/>
                <w:b/>
                <w:sz w:val="20"/>
              </w:rPr>
              <w:t>Section</w:t>
            </w:r>
          </w:p>
        </w:tc>
        <w:tc>
          <w:tcPr>
            <w:tcW w:w="2171" w:type="dxa"/>
            <w:vAlign w:val="center"/>
          </w:tcPr>
          <w:p w14:paraId="3A3900FE" w14:textId="77777777" w:rsidR="00300868" w:rsidRPr="00B72206" w:rsidRDefault="00300868" w:rsidP="00C275FA">
            <w:pPr>
              <w:spacing w:line="276" w:lineRule="auto"/>
              <w:jc w:val="center"/>
              <w:rPr>
                <w:rFonts w:ascii="Times New Roman" w:hAnsi="Times New Roman" w:cs="Times New Roman"/>
                <w:b/>
                <w:sz w:val="20"/>
              </w:rPr>
            </w:pPr>
            <w:r w:rsidRPr="00B72206">
              <w:rPr>
                <w:rFonts w:ascii="Times New Roman" w:hAnsi="Times New Roman" w:cs="Times New Roman"/>
                <w:b/>
                <w:sz w:val="20"/>
              </w:rPr>
              <w:t>Letter style</w:t>
            </w:r>
          </w:p>
        </w:tc>
        <w:tc>
          <w:tcPr>
            <w:tcW w:w="847" w:type="dxa"/>
            <w:vAlign w:val="center"/>
          </w:tcPr>
          <w:p w14:paraId="37E7E58B" w14:textId="77777777" w:rsidR="00300868" w:rsidRPr="00B72206" w:rsidRDefault="00300868" w:rsidP="00C275FA">
            <w:pPr>
              <w:spacing w:line="276" w:lineRule="auto"/>
              <w:jc w:val="center"/>
              <w:rPr>
                <w:rFonts w:ascii="Times New Roman" w:hAnsi="Times New Roman" w:cs="Times New Roman"/>
                <w:b/>
                <w:sz w:val="20"/>
              </w:rPr>
            </w:pPr>
            <w:r w:rsidRPr="00B72206">
              <w:rPr>
                <w:rFonts w:ascii="Times New Roman" w:hAnsi="Times New Roman" w:cs="Times New Roman"/>
                <w:b/>
                <w:sz w:val="20"/>
              </w:rPr>
              <w:t>Font</w:t>
            </w:r>
          </w:p>
        </w:tc>
        <w:tc>
          <w:tcPr>
            <w:tcW w:w="1214" w:type="dxa"/>
            <w:vAlign w:val="center"/>
          </w:tcPr>
          <w:p w14:paraId="565DD418" w14:textId="77777777" w:rsidR="00300868" w:rsidRPr="00B72206" w:rsidRDefault="00300868" w:rsidP="00C275FA">
            <w:pPr>
              <w:spacing w:line="276" w:lineRule="auto"/>
              <w:jc w:val="center"/>
              <w:rPr>
                <w:rFonts w:ascii="Times New Roman" w:hAnsi="Times New Roman" w:cs="Times New Roman"/>
                <w:b/>
                <w:sz w:val="20"/>
              </w:rPr>
            </w:pPr>
            <w:r w:rsidRPr="00B72206">
              <w:rPr>
                <w:rFonts w:ascii="Times New Roman" w:hAnsi="Times New Roman" w:cs="Times New Roman"/>
                <w:b/>
                <w:sz w:val="20"/>
              </w:rPr>
              <w:t>Remarks</w:t>
            </w:r>
          </w:p>
        </w:tc>
      </w:tr>
      <w:tr w:rsidR="00300868" w14:paraId="51F9207A" w14:textId="77777777" w:rsidTr="00C275FA">
        <w:trPr>
          <w:trHeight w:val="244"/>
          <w:jc w:val="center"/>
        </w:trPr>
        <w:tc>
          <w:tcPr>
            <w:tcW w:w="2037" w:type="dxa"/>
          </w:tcPr>
          <w:p w14:paraId="255359CD" w14:textId="77777777" w:rsidR="00300868" w:rsidRPr="00B72206" w:rsidRDefault="00300868" w:rsidP="00C275FA">
            <w:pPr>
              <w:spacing w:line="276" w:lineRule="auto"/>
              <w:rPr>
                <w:rFonts w:ascii="Times New Roman" w:hAnsi="Times New Roman" w:cs="Times New Roman"/>
                <w:b/>
                <w:sz w:val="20"/>
              </w:rPr>
            </w:pPr>
            <w:r w:rsidRPr="00B72206">
              <w:rPr>
                <w:rFonts w:ascii="Times New Roman" w:hAnsi="Times New Roman" w:cs="Times New Roman"/>
                <w:b/>
                <w:sz w:val="20"/>
              </w:rPr>
              <w:t>Paper title</w:t>
            </w:r>
          </w:p>
        </w:tc>
        <w:tc>
          <w:tcPr>
            <w:tcW w:w="2171" w:type="dxa"/>
            <w:vAlign w:val="center"/>
          </w:tcPr>
          <w:p w14:paraId="09A8C9DE" w14:textId="77777777" w:rsidR="00300868" w:rsidRPr="00AD0A3A" w:rsidRDefault="00300868" w:rsidP="00C275FA">
            <w:pPr>
              <w:spacing w:line="276" w:lineRule="auto"/>
              <w:jc w:val="center"/>
              <w:rPr>
                <w:rFonts w:ascii="Times New Roman" w:hAnsi="Times New Roman" w:cs="Times New Roman"/>
              </w:rPr>
            </w:pPr>
            <w:r w:rsidRPr="00AD0A3A">
              <w:rPr>
                <w:rFonts w:ascii="Times New Roman" w:hAnsi="Times New Roman" w:cs="Times New Roman"/>
              </w:rPr>
              <w:t>New Times Roman</w:t>
            </w:r>
          </w:p>
        </w:tc>
        <w:tc>
          <w:tcPr>
            <w:tcW w:w="847" w:type="dxa"/>
            <w:vAlign w:val="center"/>
          </w:tcPr>
          <w:p w14:paraId="2B550C90" w14:textId="77777777" w:rsidR="00300868" w:rsidRPr="00AD0A3A" w:rsidRDefault="00300868" w:rsidP="00C275FA">
            <w:pPr>
              <w:spacing w:line="276" w:lineRule="auto"/>
              <w:jc w:val="center"/>
              <w:rPr>
                <w:rFonts w:ascii="Times New Roman" w:hAnsi="Times New Roman" w:cs="Times New Roman"/>
              </w:rPr>
            </w:pPr>
            <w:r>
              <w:rPr>
                <w:rFonts w:ascii="Times New Roman" w:hAnsi="Times New Roman" w:cs="Times New Roman"/>
              </w:rPr>
              <w:t>14</w:t>
            </w:r>
          </w:p>
        </w:tc>
        <w:tc>
          <w:tcPr>
            <w:tcW w:w="1214" w:type="dxa"/>
            <w:vAlign w:val="center"/>
          </w:tcPr>
          <w:p w14:paraId="78CFABA7" w14:textId="77777777" w:rsidR="00300868" w:rsidRPr="00AD0A3A" w:rsidRDefault="00300868" w:rsidP="00C275FA">
            <w:pPr>
              <w:spacing w:line="276" w:lineRule="auto"/>
              <w:jc w:val="center"/>
              <w:rPr>
                <w:rFonts w:ascii="Times New Roman" w:hAnsi="Times New Roman" w:cs="Times New Roman"/>
                <w:sz w:val="20"/>
              </w:rPr>
            </w:pPr>
            <w:r w:rsidRPr="00AD0A3A">
              <w:rPr>
                <w:rFonts w:ascii="Times New Roman" w:hAnsi="Times New Roman" w:cs="Times New Roman"/>
                <w:sz w:val="20"/>
              </w:rPr>
              <w:t>Bold</w:t>
            </w:r>
          </w:p>
        </w:tc>
      </w:tr>
    </w:tbl>
    <w:p w14:paraId="5D5FB712" w14:textId="77777777" w:rsidR="00300868" w:rsidRDefault="00300868" w:rsidP="00300868">
      <w:pPr>
        <w:spacing w:after="120"/>
        <w:rPr>
          <w:rFonts w:asciiTheme="majorBidi" w:hAnsiTheme="majorBidi" w:cstheme="majorBidi"/>
          <w:sz w:val="24"/>
          <w:szCs w:val="24"/>
        </w:rPr>
      </w:pPr>
    </w:p>
    <w:p w14:paraId="3AA79E70" w14:textId="516E5344" w:rsidR="00DA7719" w:rsidRDefault="00DA7719" w:rsidP="00300868">
      <w:pPr>
        <w:spacing w:line="360" w:lineRule="auto"/>
        <w:rPr>
          <w:rFonts w:ascii="SimSun" w:eastAsia="DengXian" w:hAnsi="SimSun"/>
          <w:sz w:val="24"/>
          <w:szCs w:val="24"/>
          <w:lang w:eastAsia="zh-CN"/>
        </w:rPr>
      </w:pPr>
    </w:p>
    <w:p w14:paraId="60EB1D44" w14:textId="006C40C8" w:rsidR="00A95537" w:rsidRPr="005B1E1E" w:rsidRDefault="00A95537" w:rsidP="00300868">
      <w:pPr>
        <w:spacing w:line="360" w:lineRule="auto"/>
        <w:rPr>
          <w:rFonts w:ascii="SimSun" w:eastAsia="SimSun" w:hAnsi="SimSun" w:hint="eastAsia"/>
          <w:b/>
          <w:bCs/>
          <w:sz w:val="24"/>
          <w:szCs w:val="24"/>
          <w:lang w:eastAsia="zh-CN"/>
        </w:rPr>
      </w:pPr>
      <w:r w:rsidRPr="005B1E1E">
        <w:rPr>
          <w:rFonts w:ascii="SimSun" w:eastAsia="SimSun" w:hAnsi="SimSun" w:hint="eastAsia"/>
          <w:b/>
          <w:bCs/>
          <w:sz w:val="24"/>
          <w:szCs w:val="24"/>
          <w:lang w:eastAsia="zh-TW"/>
        </w:rPr>
        <w:t>注：本期刊不</w:t>
      </w:r>
      <w:r w:rsidR="005B1E1E">
        <w:rPr>
          <w:rFonts w:ascii="SimSun" w:eastAsia="SimSun" w:hAnsi="SimSun" w:hint="eastAsia"/>
          <w:b/>
          <w:bCs/>
          <w:sz w:val="24"/>
          <w:szCs w:val="24"/>
          <w:lang w:eastAsia="zh-TW"/>
        </w:rPr>
        <w:t>採</w:t>
      </w:r>
      <w:r w:rsidRPr="005B1E1E">
        <w:rPr>
          <w:rFonts w:ascii="SimSun" w:eastAsia="SimSun" w:hAnsi="SimSun" w:hint="eastAsia"/>
          <w:b/>
          <w:bCs/>
          <w:sz w:val="24"/>
          <w:szCs w:val="24"/>
          <w:lang w:eastAsia="zh-TW"/>
        </w:rPr>
        <w:t>用腳註尾註，引用部分在其後標示“作者</w:t>
      </w:r>
      <w:r w:rsidR="005B1E1E" w:rsidRPr="005B1E1E">
        <w:rPr>
          <w:rFonts w:ascii="SimSun" w:eastAsia="SimSun" w:hAnsi="SimSun" w:hint="eastAsia"/>
          <w:b/>
          <w:bCs/>
          <w:sz w:val="24"/>
          <w:szCs w:val="24"/>
          <w:lang w:eastAsia="zh-TW"/>
        </w:rPr>
        <w:t>,</w:t>
      </w:r>
      <w:r w:rsidRPr="005B1E1E">
        <w:rPr>
          <w:rFonts w:ascii="SimSun" w:eastAsia="SimSun" w:hAnsi="SimSun" w:hint="eastAsia"/>
          <w:b/>
          <w:bCs/>
          <w:sz w:val="24"/>
          <w:szCs w:val="24"/>
          <w:lang w:eastAsia="zh-TW"/>
        </w:rPr>
        <w:t>年度”即可。在參考文獻中標示頁碼。</w:t>
      </w:r>
    </w:p>
    <w:p w14:paraId="3123D066" w14:textId="2AED422A" w:rsidR="00300868" w:rsidRPr="00300868" w:rsidRDefault="00DA7719" w:rsidP="00A95537">
      <w:pPr>
        <w:pStyle w:val="a4"/>
        <w:spacing w:beforeLines="50" w:before="120" w:afterLines="50" w:after="120" w:line="240" w:lineRule="auto"/>
        <w:jc w:val="center"/>
        <w:rPr>
          <w:rFonts w:ascii="SimSun" w:eastAsia="SimSun" w:hAnsi="SimSun" w:cs="SimSun" w:hint="eastAsia"/>
          <w:b/>
          <w:bCs/>
          <w:sz w:val="24"/>
          <w:szCs w:val="24"/>
          <w:lang w:eastAsia="zh-CN"/>
        </w:rPr>
      </w:pPr>
      <w:r>
        <w:rPr>
          <w:rFonts w:ascii="SimSun" w:eastAsia="SimSun" w:hAnsi="SimSun" w:cs="SimSun" w:hint="eastAsia"/>
          <w:b/>
          <w:bCs/>
          <w:sz w:val="24"/>
          <w:szCs w:val="24"/>
          <w:lang w:eastAsia="zh-TW"/>
        </w:rPr>
        <w:lastRenderedPageBreak/>
        <w:t>參考文獻</w:t>
      </w:r>
    </w:p>
    <w:p w14:paraId="4D6EAEDC" w14:textId="7A747428" w:rsidR="00592306" w:rsidRPr="00300868" w:rsidRDefault="00592306" w:rsidP="00300868">
      <w:pPr>
        <w:pStyle w:val="Web"/>
        <w:shd w:val="clear" w:color="auto" w:fill="FFFFFF"/>
        <w:spacing w:line="276" w:lineRule="auto"/>
        <w:jc w:val="both"/>
        <w:rPr>
          <w:rFonts w:ascii="Times New Roman" w:eastAsia="SimSun" w:hAnsi="Times New Roman" w:cs="Times New Roman"/>
          <w:b/>
          <w:bCs/>
        </w:rPr>
      </w:pPr>
      <w:r w:rsidRPr="00300868">
        <w:rPr>
          <w:rFonts w:ascii="Times New Roman" w:eastAsia="SimSun" w:hAnsi="Times New Roman" w:cs="Times New Roman"/>
          <w:b/>
          <w:bCs/>
          <w:lang w:eastAsia="zh-CN"/>
        </w:rPr>
        <w:t>期刊資料</w:t>
      </w:r>
    </w:p>
    <w:p w14:paraId="5D8FA78A" w14:textId="0D992AF8" w:rsidR="00592306" w:rsidRPr="00300868" w:rsidRDefault="00592306" w:rsidP="00300868">
      <w:pPr>
        <w:spacing w:line="276" w:lineRule="auto"/>
        <w:rPr>
          <w:rFonts w:ascii="Times New Roman" w:eastAsia="SimSun" w:hAnsi="Times New Roman" w:cs="Times New Roman"/>
          <w:sz w:val="24"/>
          <w:szCs w:val="24"/>
          <w:lang w:eastAsia="zh-TW"/>
        </w:rPr>
      </w:pPr>
      <w:r w:rsidRPr="00300868">
        <w:rPr>
          <w:rFonts w:ascii="Times New Roman" w:eastAsia="SimSun" w:hAnsi="Times New Roman" w:cs="Times New Roman"/>
          <w:sz w:val="24"/>
          <w:szCs w:val="24"/>
          <w:lang w:eastAsia="zh-TW"/>
        </w:rPr>
        <w:t>崔岩</w:t>
      </w:r>
      <w:r w:rsidRPr="00300868">
        <w:rPr>
          <w:rFonts w:ascii="Times New Roman" w:eastAsia="SimSun" w:hAnsi="Times New Roman" w:cs="Times New Roman"/>
          <w:sz w:val="24"/>
          <w:szCs w:val="24"/>
          <w:lang w:eastAsia="zh-TW"/>
        </w:rPr>
        <w:t>.(2014).</w:t>
      </w:r>
      <w:r w:rsidRPr="00300868">
        <w:rPr>
          <w:rFonts w:ascii="Times New Roman" w:eastAsia="SimSun" w:hAnsi="Times New Roman" w:cs="Times New Roman"/>
          <w:sz w:val="24"/>
          <w:szCs w:val="24"/>
          <w:lang w:eastAsia="zh-TW"/>
        </w:rPr>
        <w:t>德國</w:t>
      </w:r>
      <w:r w:rsidRPr="00300868">
        <w:rPr>
          <w:rFonts w:ascii="Times New Roman" w:eastAsia="SimSun" w:hAnsi="Times New Roman" w:cs="Times New Roman"/>
          <w:sz w:val="24"/>
          <w:szCs w:val="24"/>
          <w:lang w:eastAsia="zh-TW"/>
        </w:rPr>
        <w:t>“</w:t>
      </w:r>
      <w:r w:rsidRPr="00300868">
        <w:rPr>
          <w:rFonts w:ascii="Times New Roman" w:eastAsia="SimSun" w:hAnsi="Times New Roman" w:cs="Times New Roman"/>
          <w:sz w:val="24"/>
          <w:szCs w:val="24"/>
          <w:lang w:eastAsia="zh-TW"/>
        </w:rPr>
        <w:t>雙元製</w:t>
      </w:r>
      <w:r w:rsidRPr="00300868">
        <w:rPr>
          <w:rFonts w:ascii="Times New Roman" w:eastAsia="SimSun" w:hAnsi="Times New Roman" w:cs="Times New Roman"/>
          <w:sz w:val="24"/>
          <w:szCs w:val="24"/>
          <w:lang w:eastAsia="zh-TW"/>
        </w:rPr>
        <w:t>”</w:t>
      </w:r>
      <w:r w:rsidRPr="00300868">
        <w:rPr>
          <w:rFonts w:ascii="Times New Roman" w:eastAsia="SimSun" w:hAnsi="Times New Roman" w:cs="Times New Roman"/>
          <w:sz w:val="24"/>
          <w:szCs w:val="24"/>
          <w:lang w:eastAsia="zh-TW"/>
        </w:rPr>
        <w:t>職業教育發展趨勢研究</w:t>
      </w:r>
      <w:r w:rsidRPr="00300868">
        <w:rPr>
          <w:rFonts w:ascii="Times New Roman" w:eastAsia="SimSun" w:hAnsi="Times New Roman" w:cs="Times New Roman"/>
          <w:sz w:val="24"/>
          <w:szCs w:val="24"/>
          <w:lang w:eastAsia="zh-TW"/>
        </w:rPr>
        <w:t>.</w:t>
      </w:r>
      <w:r w:rsidRPr="00300868">
        <w:rPr>
          <w:rFonts w:ascii="Times New Roman" w:eastAsia="SimSun" w:hAnsi="Times New Roman" w:cs="Times New Roman"/>
          <w:sz w:val="24"/>
          <w:szCs w:val="24"/>
          <w:lang w:eastAsia="zh-TW"/>
        </w:rPr>
        <w:t>中國職業技術教育</w:t>
      </w:r>
      <w:r w:rsidRPr="00300868">
        <w:rPr>
          <w:rFonts w:ascii="Times New Roman" w:eastAsia="SimSun" w:hAnsi="Times New Roman" w:cs="Times New Roman"/>
          <w:sz w:val="24"/>
          <w:szCs w:val="24"/>
          <w:lang w:eastAsia="zh-TW"/>
        </w:rPr>
        <w:t>.2014</w:t>
      </w:r>
      <w:r w:rsidRPr="00300868">
        <w:rPr>
          <w:rFonts w:ascii="Times New Roman" w:eastAsia="SimSun" w:hAnsi="Times New Roman" w:cs="Times New Roman"/>
          <w:sz w:val="24"/>
          <w:szCs w:val="24"/>
          <w:lang w:val="zh-Hant" w:eastAsia="zh-TW"/>
        </w:rPr>
        <w:t>(27)</w:t>
      </w:r>
      <w:r w:rsidRPr="00300868">
        <w:rPr>
          <w:rFonts w:ascii="Times New Roman" w:eastAsia="SimSun" w:hAnsi="Times New Roman" w:cs="Times New Roman"/>
          <w:sz w:val="24"/>
          <w:szCs w:val="24"/>
          <w:lang w:val="zh-Hant" w:eastAsia="zh-TW"/>
        </w:rPr>
        <w:t>：</w:t>
      </w:r>
      <w:r w:rsidRPr="00300868">
        <w:rPr>
          <w:rFonts w:ascii="Times New Roman" w:eastAsia="SimSun" w:hAnsi="Times New Roman" w:cs="Times New Roman"/>
          <w:sz w:val="24"/>
          <w:szCs w:val="24"/>
          <w:lang w:val="zh-Hant" w:eastAsia="zh-TW"/>
        </w:rPr>
        <w:t>71-74.</w:t>
      </w:r>
    </w:p>
    <w:p w14:paraId="2A37128D" w14:textId="1B6A7177" w:rsidR="00592306" w:rsidRPr="00300868" w:rsidRDefault="00592306" w:rsidP="00300868">
      <w:pPr>
        <w:pStyle w:val="Web"/>
        <w:shd w:val="clear" w:color="auto" w:fill="FFFFFF"/>
        <w:spacing w:line="276" w:lineRule="auto"/>
        <w:jc w:val="both"/>
        <w:rPr>
          <w:rFonts w:ascii="Times New Roman" w:hAnsi="Times New Roman" w:cs="Times New Roman"/>
        </w:rPr>
      </w:pPr>
      <w:r w:rsidRPr="00300868">
        <w:rPr>
          <w:rFonts w:ascii="Times New Roman" w:hAnsi="Times New Roman" w:cs="Times New Roman"/>
        </w:rPr>
        <w:t>Smith, M. (2015). Film Editing and the New York Method. International Journal of Film Editors, 75(3), 152–186.</w:t>
      </w:r>
    </w:p>
    <w:p w14:paraId="1DCF82E4" w14:textId="75832D68" w:rsidR="00592306" w:rsidRPr="00300868" w:rsidRDefault="00592306" w:rsidP="00300868">
      <w:pPr>
        <w:pStyle w:val="Web"/>
        <w:shd w:val="clear" w:color="auto" w:fill="FFFFFF"/>
        <w:spacing w:line="276" w:lineRule="auto"/>
        <w:jc w:val="both"/>
        <w:rPr>
          <w:rFonts w:ascii="Times New Roman" w:eastAsia="SimSun" w:hAnsi="Times New Roman" w:cs="Times New Roman"/>
          <w:b/>
          <w:bCs/>
          <w:lang w:eastAsia="zh-TW"/>
        </w:rPr>
      </w:pPr>
      <w:r w:rsidRPr="00300868">
        <w:rPr>
          <w:rFonts w:ascii="Times New Roman" w:eastAsia="SimSun" w:hAnsi="Times New Roman" w:cs="Times New Roman"/>
          <w:b/>
          <w:bCs/>
          <w:lang w:eastAsia="zh-TW"/>
        </w:rPr>
        <w:t>書籍資料</w:t>
      </w:r>
    </w:p>
    <w:p w14:paraId="37BD1BD5" w14:textId="1261B9B7" w:rsidR="00300868" w:rsidRPr="00300868" w:rsidRDefault="00300868" w:rsidP="00300868">
      <w:pPr>
        <w:spacing w:line="276" w:lineRule="auto"/>
        <w:rPr>
          <w:rFonts w:ascii="Times New Roman" w:eastAsia="SimSun" w:hAnsi="Times New Roman" w:cs="Times New Roman"/>
          <w:sz w:val="24"/>
          <w:szCs w:val="24"/>
          <w:lang w:eastAsia="zh-TW"/>
        </w:rPr>
      </w:pPr>
      <w:r w:rsidRPr="00300868">
        <w:rPr>
          <w:rFonts w:ascii="Times New Roman" w:eastAsia="SimSun" w:hAnsi="Times New Roman" w:cs="Times New Roman"/>
          <w:sz w:val="24"/>
          <w:szCs w:val="24"/>
          <w:lang w:eastAsia="zh-TW"/>
        </w:rPr>
        <w:t>郭延禮</w:t>
      </w:r>
      <w:r w:rsidRPr="00300868">
        <w:rPr>
          <w:rFonts w:ascii="Times New Roman" w:eastAsia="SimSun" w:hAnsi="Times New Roman" w:cs="Times New Roman"/>
          <w:sz w:val="24"/>
          <w:szCs w:val="24"/>
          <w:lang w:eastAsia="zh-TW"/>
        </w:rPr>
        <w:t>.(1998).</w:t>
      </w:r>
      <w:r w:rsidRPr="00300868">
        <w:rPr>
          <w:rFonts w:ascii="Times New Roman" w:eastAsia="SimSun" w:hAnsi="Times New Roman" w:cs="Times New Roman"/>
          <w:sz w:val="24"/>
          <w:szCs w:val="24"/>
          <w:lang w:eastAsia="zh-TW"/>
        </w:rPr>
        <w:t>《中國近代翻譯文學概論》</w:t>
      </w:r>
      <w:r w:rsidRPr="00300868">
        <w:rPr>
          <w:rFonts w:ascii="Times New Roman" w:eastAsia="SimSun" w:hAnsi="Times New Roman" w:cs="Times New Roman"/>
          <w:sz w:val="24"/>
          <w:szCs w:val="24"/>
          <w:lang w:eastAsia="zh-TW"/>
        </w:rPr>
        <w:t>,</w:t>
      </w:r>
      <w:r w:rsidRPr="00300868">
        <w:rPr>
          <w:rFonts w:ascii="Times New Roman" w:eastAsia="SimSun" w:hAnsi="Times New Roman" w:cs="Times New Roman"/>
          <w:sz w:val="24"/>
          <w:szCs w:val="24"/>
          <w:lang w:eastAsia="zh-TW"/>
        </w:rPr>
        <w:t>武漢</w:t>
      </w:r>
      <w:r w:rsidRPr="00300868">
        <w:rPr>
          <w:rFonts w:ascii="Times New Roman" w:eastAsia="SimSun" w:hAnsi="Times New Roman" w:cs="Times New Roman"/>
          <w:sz w:val="24"/>
          <w:szCs w:val="24"/>
          <w:lang w:eastAsia="zh-TW"/>
        </w:rPr>
        <w:t>:</w:t>
      </w:r>
      <w:r w:rsidRPr="00300868">
        <w:rPr>
          <w:rFonts w:ascii="Times New Roman" w:eastAsia="SimSun" w:hAnsi="Times New Roman" w:cs="Times New Roman"/>
          <w:sz w:val="24"/>
          <w:szCs w:val="24"/>
          <w:lang w:eastAsia="zh-TW"/>
        </w:rPr>
        <w:t>湖北教育出版社</w:t>
      </w:r>
      <w:r w:rsidRPr="00300868">
        <w:rPr>
          <w:rFonts w:ascii="Times New Roman" w:eastAsia="SimSun" w:hAnsi="Times New Roman" w:cs="Times New Roman"/>
          <w:sz w:val="24"/>
          <w:szCs w:val="24"/>
          <w:lang w:eastAsia="zh-TW"/>
        </w:rPr>
        <w:t>,606:18</w:t>
      </w:r>
    </w:p>
    <w:p w14:paraId="3CDD2C3C" w14:textId="05FF8C7C" w:rsidR="00592306" w:rsidRPr="00300868" w:rsidRDefault="00592306" w:rsidP="00300868">
      <w:pPr>
        <w:pStyle w:val="Web"/>
        <w:shd w:val="clear" w:color="auto" w:fill="FFFFFF"/>
        <w:spacing w:line="276" w:lineRule="auto"/>
        <w:jc w:val="both"/>
        <w:rPr>
          <w:rFonts w:ascii="Times New Roman" w:hAnsi="Times New Roman" w:cs="Times New Roman"/>
        </w:rPr>
      </w:pPr>
      <w:r w:rsidRPr="00300868">
        <w:rPr>
          <w:rFonts w:ascii="Times New Roman" w:hAnsi="Times New Roman" w:cs="Times New Roman"/>
        </w:rPr>
        <w:t>Stagg, R. C., and Basco, R. R. (2010). Philosophical approaches to organized religion. San Francisco: American Philosophy Organization.</w:t>
      </w:r>
    </w:p>
    <w:p w14:paraId="297C5088" w14:textId="3A31952D" w:rsidR="00592306" w:rsidRPr="00300868" w:rsidRDefault="00300868" w:rsidP="00300868">
      <w:pPr>
        <w:pStyle w:val="Web"/>
        <w:shd w:val="clear" w:color="auto" w:fill="FFFFFF"/>
        <w:spacing w:line="276" w:lineRule="auto"/>
        <w:jc w:val="both"/>
        <w:rPr>
          <w:rFonts w:ascii="Times New Roman" w:eastAsia="SimSun" w:hAnsi="Times New Roman" w:cs="Times New Roman"/>
          <w:b/>
          <w:bCs/>
        </w:rPr>
      </w:pPr>
      <w:r w:rsidRPr="00300868">
        <w:rPr>
          <w:rFonts w:ascii="Times New Roman" w:eastAsia="SimSun" w:hAnsi="Times New Roman" w:cs="Times New Roman"/>
          <w:b/>
          <w:bCs/>
          <w:lang w:eastAsia="zh-CN"/>
        </w:rPr>
        <w:t>網頁資料</w:t>
      </w:r>
    </w:p>
    <w:p w14:paraId="212A4255" w14:textId="77777777" w:rsidR="00592306" w:rsidRPr="00300868" w:rsidRDefault="00592306" w:rsidP="00300868">
      <w:pPr>
        <w:pStyle w:val="Web"/>
        <w:shd w:val="clear" w:color="auto" w:fill="FFFFFF"/>
        <w:spacing w:line="276" w:lineRule="auto"/>
        <w:jc w:val="both"/>
        <w:rPr>
          <w:rFonts w:ascii="Times New Roman" w:hAnsi="Times New Roman" w:cs="Times New Roman"/>
        </w:rPr>
      </w:pPr>
      <w:r w:rsidRPr="00300868">
        <w:rPr>
          <w:rFonts w:ascii="Times New Roman" w:hAnsi="Times New Roman" w:cs="Times New Roman"/>
        </w:rPr>
        <w:t xml:space="preserve">Dunne, Y., Shaw, M. L., Doyle, W., and Kim, J. (2019). The ethics of meat consumption in developing countries. Retrieved from: American Nutrition Association. http://www.nutri.org/edu/other_res/lib_archives/archives/300904.pdf. </w:t>
      </w:r>
    </w:p>
    <w:p w14:paraId="7F0A6918" w14:textId="77777777" w:rsidR="00592306" w:rsidRPr="00592306" w:rsidRDefault="00592306" w:rsidP="00DA7719">
      <w:pPr>
        <w:pStyle w:val="10"/>
        <w:rPr>
          <w:rFonts w:ascii="Times New Roman" w:hAnsi="Times New Roman" w:hint="eastAsia"/>
          <w:bCs/>
          <w:sz w:val="24"/>
          <w:szCs w:val="24"/>
        </w:rPr>
      </w:pPr>
    </w:p>
    <w:p w14:paraId="5DA29E40" w14:textId="1C79C249" w:rsidR="00DA7719" w:rsidRPr="001771E2" w:rsidRDefault="00DA7719" w:rsidP="00DA7719">
      <w:pPr>
        <w:pStyle w:val="10"/>
        <w:rPr>
          <w:rFonts w:ascii="Times New Roman" w:hAnsi="Times New Roman"/>
          <w:bCs/>
          <w:sz w:val="24"/>
          <w:szCs w:val="24"/>
        </w:rPr>
      </w:pPr>
      <w:r w:rsidRPr="001771E2">
        <w:rPr>
          <w:rFonts w:ascii="Times New Roman" w:hAnsi="Times New Roman"/>
          <w:bCs/>
          <w:sz w:val="24"/>
          <w:szCs w:val="24"/>
        </w:rPr>
        <w:t xml:space="preserve">Date of Submission: </w:t>
      </w:r>
      <w:r>
        <w:rPr>
          <w:rFonts w:ascii="Times New Roman" w:hAnsi="Times New Roman"/>
          <w:bCs/>
          <w:sz w:val="24"/>
          <w:szCs w:val="24"/>
        </w:rPr>
        <w:t xml:space="preserve"> June 15, 2022</w:t>
      </w:r>
    </w:p>
    <w:p w14:paraId="429DE613" w14:textId="77777777" w:rsidR="00DA7719" w:rsidRPr="001771E2" w:rsidRDefault="00DA7719" w:rsidP="00DA7719">
      <w:pPr>
        <w:pStyle w:val="10"/>
        <w:rPr>
          <w:rFonts w:ascii="Times New Roman" w:hAnsi="Times New Roman"/>
          <w:bCs/>
          <w:sz w:val="24"/>
          <w:szCs w:val="24"/>
        </w:rPr>
      </w:pPr>
      <w:r w:rsidRPr="001771E2">
        <w:rPr>
          <w:rFonts w:ascii="Times New Roman" w:hAnsi="Times New Roman"/>
          <w:bCs/>
          <w:sz w:val="24"/>
          <w:szCs w:val="24"/>
        </w:rPr>
        <w:t xml:space="preserve">Date Review Completion: </w:t>
      </w:r>
      <w:r>
        <w:rPr>
          <w:rFonts w:ascii="Times New Roman" w:hAnsi="Times New Roman"/>
          <w:bCs/>
          <w:sz w:val="24"/>
          <w:szCs w:val="24"/>
        </w:rPr>
        <w:t xml:space="preserve"> July 30, 2022</w:t>
      </w:r>
    </w:p>
    <w:p w14:paraId="3E90452A" w14:textId="77777777" w:rsidR="00DA7719" w:rsidRPr="004C41EE" w:rsidRDefault="00DA7719" w:rsidP="00DA7719">
      <w:pPr>
        <w:pStyle w:val="10"/>
        <w:rPr>
          <w:rFonts w:ascii="Times New Roman" w:hAnsi="Times New Roman"/>
          <w:b/>
          <w:bCs/>
          <w:color w:val="C00000"/>
          <w:sz w:val="24"/>
          <w:szCs w:val="24"/>
        </w:rPr>
      </w:pPr>
      <w:bookmarkStart w:id="1" w:name="_Hlk117158346"/>
      <w:r w:rsidRPr="001771E2">
        <w:rPr>
          <w:rFonts w:ascii="Times New Roman" w:hAnsi="Times New Roman"/>
          <w:bCs/>
          <w:sz w:val="24"/>
          <w:szCs w:val="24"/>
        </w:rPr>
        <w:t xml:space="preserve">Date of Publication: </w:t>
      </w:r>
      <w:r>
        <w:rPr>
          <w:rFonts w:ascii="Times New Roman" w:hAnsi="Times New Roman"/>
          <w:bCs/>
          <w:sz w:val="24"/>
          <w:szCs w:val="24"/>
        </w:rPr>
        <w:t xml:space="preserve"> October 30</w:t>
      </w:r>
      <w:r w:rsidRPr="001771E2">
        <w:rPr>
          <w:rFonts w:ascii="Times New Roman" w:hAnsi="Times New Roman"/>
          <w:bCs/>
          <w:sz w:val="24"/>
          <w:szCs w:val="24"/>
        </w:rPr>
        <w:t>, 2022</w:t>
      </w:r>
    </w:p>
    <w:bookmarkEnd w:id="1"/>
    <w:p w14:paraId="3FBA2311" w14:textId="77777777" w:rsidR="00DA7719" w:rsidRPr="00754B15" w:rsidRDefault="00DA7719" w:rsidP="00DA7719">
      <w:pPr>
        <w:pStyle w:val="10"/>
        <w:rPr>
          <w:rFonts w:ascii="Times New Roman" w:hAnsi="Times New Roman"/>
          <w:color w:val="C00000"/>
          <w:sz w:val="24"/>
          <w:szCs w:val="24"/>
        </w:rPr>
      </w:pPr>
    </w:p>
    <w:p w14:paraId="62E00F9A" w14:textId="3E579274" w:rsidR="00DA7719" w:rsidRDefault="00DA7719" w:rsidP="00DA7719">
      <w:pPr>
        <w:rPr>
          <w:rFonts w:eastAsia="PMingLiU"/>
          <w:b/>
          <w:bCs/>
          <w:color w:val="000000"/>
          <w:lang w:eastAsia="zh-TW"/>
        </w:rPr>
      </w:pPr>
    </w:p>
    <w:p w14:paraId="650203E9" w14:textId="1C4B7191" w:rsidR="00DA7719" w:rsidRPr="00300868" w:rsidRDefault="00DA7719" w:rsidP="00DA7719">
      <w:pPr>
        <w:rPr>
          <w:rFonts w:eastAsia="DengXian" w:hint="eastAsia"/>
          <w:b/>
          <w:bCs/>
          <w:color w:val="000000"/>
          <w:lang w:eastAsia="zh-CN"/>
        </w:rPr>
      </w:pPr>
    </w:p>
    <w:p w14:paraId="537C6580" w14:textId="77777777" w:rsidR="00DA7719" w:rsidRDefault="00DA7719" w:rsidP="00DA7719">
      <w:pPr>
        <w:rPr>
          <w:rFonts w:ascii="Times New Roman" w:eastAsia="SimSun" w:hAnsi="Times New Roman" w:cs="Times New Roman"/>
          <w:b/>
          <w:bCs/>
          <w:color w:val="000000"/>
          <w:sz w:val="24"/>
          <w:szCs w:val="24"/>
          <w:lang w:eastAsia="zh-TW"/>
        </w:rPr>
      </w:pPr>
      <w:r>
        <w:rPr>
          <w:rFonts w:ascii="Times New Roman" w:eastAsia="SimSun" w:hAnsi="Times New Roman" w:cs="Times New Roman"/>
          <w:b/>
          <w:bCs/>
          <w:color w:val="000000"/>
          <w:sz w:val="24"/>
          <w:szCs w:val="24"/>
          <w:lang w:eastAsia="zh-TW"/>
        </w:rPr>
        <w:t>About the Author</w:t>
      </w:r>
    </w:p>
    <w:p w14:paraId="664EC121" w14:textId="1FE244ED" w:rsidR="00DA7719" w:rsidRDefault="00DA7719" w:rsidP="00DA7719">
      <w:pPr>
        <w:rPr>
          <w:rFonts w:ascii="Times New Roman" w:eastAsia="PMingLiU" w:hAnsi="Times New Roman" w:cs="Times New Roman"/>
          <w:iCs/>
          <w:sz w:val="24"/>
          <w:szCs w:val="24"/>
          <w:lang w:eastAsia="zh-TW"/>
        </w:rPr>
      </w:pPr>
    </w:p>
    <w:p w14:paraId="291668EB" w14:textId="31C2A81D" w:rsidR="00DA7719" w:rsidRDefault="00DA7719" w:rsidP="00DA7719">
      <w:pPr>
        <w:rPr>
          <w:rFonts w:ascii="Times New Roman" w:eastAsia="PMingLiU" w:hAnsi="Times New Roman" w:cs="Times New Roman"/>
          <w:i/>
          <w:lang w:eastAsia="zh-TW"/>
        </w:rPr>
      </w:pPr>
    </w:p>
    <w:p w14:paraId="5BC3D251" w14:textId="75BC74BA" w:rsidR="00DA7719" w:rsidRDefault="00DA7719" w:rsidP="00DA7719">
      <w:pPr>
        <w:rPr>
          <w:rFonts w:ascii="Times New Roman" w:eastAsia="PMingLiU" w:hAnsi="Times New Roman" w:cs="Times New Roman"/>
          <w:i/>
          <w:lang w:eastAsia="zh-TW"/>
        </w:rPr>
      </w:pPr>
    </w:p>
    <w:p w14:paraId="02684A31" w14:textId="384420D8" w:rsidR="00DA7719" w:rsidRDefault="00691783" w:rsidP="00DA7719">
      <w:pPr>
        <w:rPr>
          <w:rFonts w:ascii="Times New Roman" w:eastAsia="PMingLiU" w:hAnsi="Times New Roman" w:cs="Times New Roman"/>
          <w:iCs/>
          <w:sz w:val="24"/>
          <w:szCs w:val="24"/>
          <w:lang w:eastAsia="zh-TW"/>
        </w:rPr>
      </w:pPr>
      <w:r>
        <w:rPr>
          <w:rFonts w:ascii="Times New Roman" w:eastAsia="PMingLiU" w:hAnsi="Times New Roman" w:cs="Times New Roman"/>
          <w:i/>
          <w:noProof/>
          <w:lang w:eastAsia="ko-KR"/>
        </w:rPr>
        <w:drawing>
          <wp:anchor distT="0" distB="0" distL="114300" distR="114300" simplePos="0" relativeHeight="251661312" behindDoc="0" locked="0" layoutInCell="1" allowOverlap="1" wp14:anchorId="75943F17" wp14:editId="116B73CF">
            <wp:simplePos x="0" y="0"/>
            <wp:positionH relativeFrom="margin">
              <wp:posOffset>28575</wp:posOffset>
            </wp:positionH>
            <wp:positionV relativeFrom="paragraph">
              <wp:posOffset>27940</wp:posOffset>
            </wp:positionV>
            <wp:extent cx="1293213" cy="1706245"/>
            <wp:effectExtent l="0" t="0" r="2540" b="8255"/>
            <wp:wrapThrough wrapText="bothSides">
              <wp:wrapPolygon edited="0">
                <wp:start x="0" y="0"/>
                <wp:lineTo x="0" y="21463"/>
                <wp:lineTo x="21324" y="21463"/>
                <wp:lineTo x="21324" y="0"/>
                <wp:lineTo x="0" y="0"/>
              </wp:wrapPolygon>
            </wp:wrapThrough>
            <wp:docPr id="1578745409"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93213" cy="170624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DengXian" w:hAnsi="Times New Roman" w:cs="Times New Roman" w:hint="eastAsia"/>
          <w:iCs/>
          <w:sz w:val="24"/>
          <w:szCs w:val="24"/>
          <w:lang w:eastAsia="zh-CN"/>
        </w:rPr>
        <w:t>Han Shuiyuan</w:t>
      </w:r>
      <w:r w:rsidR="00DA7719">
        <w:rPr>
          <w:rFonts w:ascii="Times New Roman" w:eastAsia="PMingLiU" w:hAnsi="Times New Roman" w:cs="Times New Roman"/>
          <w:iCs/>
          <w:sz w:val="24"/>
          <w:szCs w:val="24"/>
          <w:lang w:eastAsia="zh-TW"/>
        </w:rPr>
        <w:t xml:space="preserve"> received her master's degree in Korean Language Education from </w:t>
      </w:r>
      <w:r>
        <w:rPr>
          <w:rFonts w:ascii="Times New Roman" w:eastAsia="DengXian" w:hAnsi="Times New Roman" w:cs="Times New Roman" w:hint="eastAsia"/>
          <w:iCs/>
          <w:sz w:val="24"/>
          <w:szCs w:val="24"/>
          <w:lang w:eastAsia="zh-CN"/>
        </w:rPr>
        <w:t>Suwon</w:t>
      </w:r>
      <w:r w:rsidR="00DA7719">
        <w:rPr>
          <w:rFonts w:ascii="Times New Roman" w:eastAsia="PMingLiU" w:hAnsi="Times New Roman" w:cs="Times New Roman"/>
          <w:iCs/>
          <w:sz w:val="24"/>
          <w:szCs w:val="24"/>
          <w:lang w:eastAsia="zh-TW"/>
        </w:rPr>
        <w:t xml:space="preserve"> University, South Korea. She is currently working at the School of International Education of </w:t>
      </w:r>
      <w:r>
        <w:rPr>
          <w:rFonts w:ascii="Times New Roman" w:eastAsia="DengXian" w:hAnsi="Times New Roman" w:cs="Times New Roman" w:hint="eastAsia"/>
          <w:iCs/>
          <w:sz w:val="24"/>
          <w:szCs w:val="24"/>
          <w:lang w:eastAsia="zh-CN"/>
        </w:rPr>
        <w:t>Suwon</w:t>
      </w:r>
      <w:r w:rsidR="00DA7719">
        <w:rPr>
          <w:rFonts w:ascii="Times New Roman" w:eastAsia="PMingLiU" w:hAnsi="Times New Roman" w:cs="Times New Roman"/>
          <w:iCs/>
          <w:sz w:val="24"/>
          <w:szCs w:val="24"/>
          <w:lang w:eastAsia="zh-TW"/>
        </w:rPr>
        <w:t xml:space="preserve"> University. She is a Ph. D candidate in Education at </w:t>
      </w:r>
      <w:r>
        <w:rPr>
          <w:rFonts w:ascii="Times New Roman" w:eastAsia="DengXian" w:hAnsi="Times New Roman" w:cs="Times New Roman" w:hint="eastAsia"/>
          <w:iCs/>
          <w:sz w:val="24"/>
          <w:szCs w:val="24"/>
          <w:lang w:eastAsia="zh-CN"/>
        </w:rPr>
        <w:t>Suwon</w:t>
      </w:r>
      <w:r w:rsidR="00DA7719">
        <w:rPr>
          <w:rFonts w:ascii="Times New Roman" w:eastAsia="PMingLiU" w:hAnsi="Times New Roman" w:cs="Times New Roman"/>
          <w:iCs/>
          <w:sz w:val="24"/>
          <w:szCs w:val="24"/>
          <w:lang w:eastAsia="zh-TW"/>
        </w:rPr>
        <w:t xml:space="preserve"> University.</w:t>
      </w:r>
      <w:r w:rsidR="00DA7719">
        <w:rPr>
          <w:rFonts w:ascii="Times New Roman" w:hAnsi="Times New Roman" w:cs="Times New Roman"/>
        </w:rPr>
        <w:t xml:space="preserve"> Her </w:t>
      </w:r>
      <w:r w:rsidR="00DA7719">
        <w:rPr>
          <w:rFonts w:ascii="Times New Roman" w:eastAsia="PMingLiU" w:hAnsi="Times New Roman" w:cs="Times New Roman"/>
          <w:iCs/>
          <w:sz w:val="24"/>
          <w:szCs w:val="24"/>
          <w:lang w:eastAsia="zh-TW"/>
        </w:rPr>
        <w:t>research fields are educational psychology and life guidance for international students.</w:t>
      </w:r>
    </w:p>
    <w:p w14:paraId="75F2E854" w14:textId="37CBD776" w:rsidR="00DA7719" w:rsidRDefault="00DA7719" w:rsidP="00DA7719">
      <w:pPr>
        <w:rPr>
          <w:rFonts w:ascii="Times New Roman" w:eastAsia="PMingLiU" w:hAnsi="Times New Roman" w:cs="Times New Roman"/>
          <w:i/>
          <w:lang w:eastAsia="zh-TW"/>
        </w:rPr>
      </w:pPr>
    </w:p>
    <w:p w14:paraId="02C7D702" w14:textId="5CFA8274" w:rsidR="00DA7719" w:rsidRDefault="00691783" w:rsidP="00DA7719">
      <w:pPr>
        <w:rPr>
          <w:rFonts w:ascii="SimSun" w:eastAsia="PMingLiU" w:hAnsi="SimSun" w:cs="Times New Roman"/>
          <w:iCs/>
          <w:sz w:val="24"/>
          <w:szCs w:val="24"/>
          <w:lang w:eastAsia="zh-TW"/>
        </w:rPr>
      </w:pPr>
      <w:r>
        <w:rPr>
          <w:rFonts w:ascii="SimSun" w:eastAsia="SimSun" w:hAnsi="SimSun" w:cs="Times New Roman" w:hint="eastAsia"/>
          <w:iCs/>
          <w:sz w:val="24"/>
          <w:szCs w:val="24"/>
          <w:lang w:eastAsia="zh-TW"/>
        </w:rPr>
        <w:t>韓水原</w:t>
      </w:r>
      <w:r w:rsidR="00DA7719">
        <w:rPr>
          <w:rFonts w:ascii="SimSun" w:eastAsia="SimSun" w:hAnsi="SimSun" w:cs="Times New Roman" w:hint="eastAsia"/>
          <w:iCs/>
          <w:sz w:val="24"/>
          <w:szCs w:val="24"/>
          <w:lang w:eastAsia="zh-TW"/>
        </w:rPr>
        <w:t>於</w:t>
      </w:r>
      <w:r>
        <w:rPr>
          <w:rFonts w:ascii="SimSun" w:eastAsia="SimSun" w:hAnsi="SimSun" w:cs="Times New Roman" w:hint="eastAsia"/>
          <w:iCs/>
          <w:sz w:val="24"/>
          <w:szCs w:val="24"/>
          <w:lang w:eastAsia="zh-TW"/>
        </w:rPr>
        <w:t>水原</w:t>
      </w:r>
      <w:r w:rsidR="00DA7719">
        <w:rPr>
          <w:rFonts w:ascii="SimSun" w:eastAsia="SimSun" w:hAnsi="SimSun" w:cs="Times New Roman" w:hint="eastAsia"/>
          <w:iCs/>
          <w:sz w:val="24"/>
          <w:szCs w:val="24"/>
          <w:lang w:eastAsia="zh-TW"/>
        </w:rPr>
        <w:t>大學取得韓國語教育學碩士學位，現就職於</w:t>
      </w:r>
      <w:r>
        <w:rPr>
          <w:rFonts w:ascii="SimSun" w:eastAsia="SimSun" w:hAnsi="SimSun" w:cs="Times New Roman" w:hint="eastAsia"/>
          <w:iCs/>
          <w:sz w:val="24"/>
          <w:szCs w:val="24"/>
          <w:lang w:eastAsia="zh-TW"/>
        </w:rPr>
        <w:t>水原</w:t>
      </w:r>
      <w:r w:rsidR="00DA7719">
        <w:rPr>
          <w:rFonts w:ascii="SimSun" w:eastAsia="SimSun" w:hAnsi="SimSun" w:cs="Times New Roman" w:hint="eastAsia"/>
          <w:iCs/>
          <w:sz w:val="24"/>
          <w:szCs w:val="24"/>
          <w:lang w:eastAsia="zh-TW"/>
        </w:rPr>
        <w:t>大學國際教育院，</w:t>
      </w:r>
      <w:r>
        <w:rPr>
          <w:rFonts w:ascii="SimSun" w:eastAsia="SimSun" w:hAnsi="SimSun" w:cs="Times New Roman" w:hint="eastAsia"/>
          <w:iCs/>
          <w:sz w:val="24"/>
          <w:szCs w:val="24"/>
          <w:lang w:eastAsia="zh-TW"/>
        </w:rPr>
        <w:t>水原</w:t>
      </w:r>
      <w:r w:rsidR="00DA7719">
        <w:rPr>
          <w:rFonts w:ascii="SimSun" w:eastAsia="SimSun" w:hAnsi="SimSun" w:cs="Times New Roman" w:hint="eastAsia"/>
          <w:iCs/>
          <w:sz w:val="24"/>
          <w:szCs w:val="24"/>
          <w:lang w:eastAsia="zh-TW"/>
        </w:rPr>
        <w:t>大學教育學博士在讀。研究領域爲教育心理，留學生生活指導。</w:t>
      </w:r>
    </w:p>
    <w:p w14:paraId="3AF9B80A" w14:textId="77777777" w:rsidR="00FC255B" w:rsidRPr="00300868" w:rsidRDefault="00FC255B" w:rsidP="00DA7719">
      <w:pPr>
        <w:rPr>
          <w:rFonts w:eastAsia="DengXian" w:hint="eastAsia"/>
          <w:lang w:eastAsia="zh-CN"/>
        </w:rPr>
      </w:pPr>
    </w:p>
    <w:sectPr w:rsidR="00FC255B" w:rsidRPr="00300868">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7FB4D86" w14:textId="77777777" w:rsidR="00F01888" w:rsidRDefault="00F01888" w:rsidP="00DA7719">
      <w:r>
        <w:separator/>
      </w:r>
    </w:p>
  </w:endnote>
  <w:endnote w:type="continuationSeparator" w:id="0">
    <w:p w14:paraId="350FF378" w14:textId="77777777" w:rsidR="00F01888" w:rsidRDefault="00F01888" w:rsidP="00DA7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Arial Unicode MS">
    <w:altName w:val="Adobe Fan Heiti Std B"/>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HY신명조">
    <w:panose1 w:val="02030600000101010101"/>
    <w:charset w:val="81"/>
    <w:family w:val="roman"/>
    <w:pitch w:val="variable"/>
    <w:sig w:usb0="900002A7" w:usb1="29D77CF9" w:usb2="00000010" w:usb3="00000000" w:csb0="00080000" w:csb1="00000000"/>
  </w:font>
  <w:font w:name="DengXian">
    <w:altName w:val="等线"/>
    <w:panose1 w:val="02010600030101010101"/>
    <w:charset w:val="86"/>
    <w:family w:val="auto"/>
    <w:pitch w:val="variable"/>
    <w:sig w:usb0="A00002BF" w:usb1="38CF7CFA" w:usb2="00000016" w:usb3="00000000" w:csb0="0004000F" w:csb1="00000000"/>
  </w:font>
  <w:font w:name="새굴림">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EE19434" w14:textId="77777777" w:rsidR="00F01888" w:rsidRDefault="00F01888" w:rsidP="00DA7719">
      <w:r>
        <w:separator/>
      </w:r>
    </w:p>
  </w:footnote>
  <w:footnote w:type="continuationSeparator" w:id="0">
    <w:p w14:paraId="782AD68D" w14:textId="77777777" w:rsidR="00F01888" w:rsidRDefault="00F01888" w:rsidP="00DA771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0275"/>
    <w:rsid w:val="002D0275"/>
    <w:rsid w:val="00300868"/>
    <w:rsid w:val="003026DD"/>
    <w:rsid w:val="00592306"/>
    <w:rsid w:val="005B1E1E"/>
    <w:rsid w:val="00691783"/>
    <w:rsid w:val="008E6BDA"/>
    <w:rsid w:val="009F2558"/>
    <w:rsid w:val="00A95537"/>
    <w:rsid w:val="00DA7719"/>
    <w:rsid w:val="00DC4A09"/>
    <w:rsid w:val="00EC1F7C"/>
    <w:rsid w:val="00F01888"/>
    <w:rsid w:val="00FC255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47D61"/>
  <w15:chartTrackingRefBased/>
  <w15:docId w15:val="{D99DD37E-E091-4FCD-8A29-9DE1CB475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0275"/>
    <w:pPr>
      <w:spacing w:after="0" w:line="240" w:lineRule="auto"/>
    </w:pPr>
    <w:rPr>
      <w:kern w:val="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sid w:val="002D0275"/>
    <w:rPr>
      <w:color w:val="0000FF"/>
      <w:u w:val="single"/>
    </w:rPr>
  </w:style>
  <w:style w:type="paragraph" w:styleId="a4">
    <w:name w:val="No Spacing"/>
    <w:uiPriority w:val="1"/>
    <w:qFormat/>
    <w:rsid w:val="002D0275"/>
    <w:pPr>
      <w:widowControl w:val="0"/>
      <w:wordWrap w:val="0"/>
      <w:autoSpaceDE w:val="0"/>
      <w:autoSpaceDN w:val="0"/>
    </w:pPr>
    <w:rPr>
      <w:rFonts w:ascii="Calibri" w:eastAsia="맑은 고딕" w:hAnsi="Calibri" w:cs="Times New Roman"/>
    </w:rPr>
  </w:style>
  <w:style w:type="paragraph" w:customStyle="1" w:styleId="1">
    <w:name w:val="바탕글1"/>
    <w:basedOn w:val="a"/>
    <w:uiPriority w:val="12"/>
    <w:qFormat/>
    <w:rsid w:val="002D0275"/>
    <w:pPr>
      <w:widowControl w:val="0"/>
      <w:wordWrap w:val="0"/>
      <w:autoSpaceDE w:val="0"/>
      <w:autoSpaceDN w:val="0"/>
      <w:spacing w:line="384" w:lineRule="auto"/>
      <w:textAlignment w:val="baseline"/>
    </w:pPr>
    <w:rPr>
      <w:rFonts w:ascii="함초롬바탕" w:eastAsia="굴림" w:hAnsi="굴림" w:cs="굴림"/>
      <w:color w:val="000000"/>
      <w:kern w:val="2"/>
      <w:lang w:eastAsia="ko-KR"/>
    </w:rPr>
  </w:style>
  <w:style w:type="character" w:styleId="a5">
    <w:name w:val="footnote reference"/>
    <w:unhideWhenUsed/>
    <w:qFormat/>
    <w:rsid w:val="00DA7719"/>
    <w:rPr>
      <w:vertAlign w:val="superscript"/>
    </w:rPr>
  </w:style>
  <w:style w:type="paragraph" w:customStyle="1" w:styleId="a6">
    <w:name w:val="标题一"/>
    <w:basedOn w:val="a"/>
    <w:qFormat/>
    <w:rsid w:val="00DA7719"/>
    <w:pPr>
      <w:widowControl w:val="0"/>
      <w:spacing w:after="160" w:line="259" w:lineRule="auto"/>
      <w:ind w:firstLineChars="100" w:firstLine="280"/>
    </w:pPr>
    <w:rPr>
      <w:rFonts w:ascii="SimHei" w:eastAsia="SimHei" w:hAnsi="SimHei"/>
      <w:kern w:val="2"/>
      <w:sz w:val="28"/>
      <w:szCs w:val="28"/>
      <w:lang w:eastAsia="zh-CN"/>
    </w:rPr>
  </w:style>
  <w:style w:type="paragraph" w:customStyle="1" w:styleId="10">
    <w:name w:val="无间隔1"/>
    <w:uiPriority w:val="1"/>
    <w:qFormat/>
    <w:rsid w:val="00DA7719"/>
    <w:pPr>
      <w:adjustRightInd w:val="0"/>
      <w:snapToGrid w:val="0"/>
      <w:spacing w:after="0" w:line="240" w:lineRule="auto"/>
      <w:jc w:val="left"/>
    </w:pPr>
    <w:rPr>
      <w:rFonts w:ascii="Tahoma" w:eastAsia="Microsoft YaHei" w:hAnsi="Tahoma" w:cs="Times New Roman"/>
      <w:kern w:val="0"/>
      <w:sz w:val="22"/>
      <w:lang w:eastAsia="zh-CN"/>
    </w:rPr>
  </w:style>
  <w:style w:type="paragraph" w:styleId="a7">
    <w:name w:val="header"/>
    <w:basedOn w:val="a"/>
    <w:link w:val="a8"/>
    <w:uiPriority w:val="99"/>
    <w:unhideWhenUsed/>
    <w:rsid w:val="00691783"/>
    <w:pPr>
      <w:tabs>
        <w:tab w:val="center" w:pos="4513"/>
        <w:tab w:val="right" w:pos="9026"/>
      </w:tabs>
      <w:snapToGrid w:val="0"/>
    </w:pPr>
  </w:style>
  <w:style w:type="character" w:customStyle="1" w:styleId="a8">
    <w:name w:val="頁首 字元"/>
    <w:basedOn w:val="a0"/>
    <w:link w:val="a7"/>
    <w:uiPriority w:val="99"/>
    <w:rsid w:val="00691783"/>
    <w:rPr>
      <w:kern w:val="0"/>
      <w:szCs w:val="20"/>
      <w:lang w:eastAsia="en-US"/>
    </w:rPr>
  </w:style>
  <w:style w:type="paragraph" w:styleId="a9">
    <w:name w:val="footer"/>
    <w:basedOn w:val="a"/>
    <w:link w:val="aa"/>
    <w:uiPriority w:val="99"/>
    <w:unhideWhenUsed/>
    <w:rsid w:val="00691783"/>
    <w:pPr>
      <w:tabs>
        <w:tab w:val="center" w:pos="4513"/>
        <w:tab w:val="right" w:pos="9026"/>
      </w:tabs>
      <w:snapToGrid w:val="0"/>
    </w:pPr>
  </w:style>
  <w:style w:type="character" w:customStyle="1" w:styleId="aa">
    <w:name w:val="頁尾 字元"/>
    <w:basedOn w:val="a0"/>
    <w:link w:val="a9"/>
    <w:uiPriority w:val="99"/>
    <w:rsid w:val="00691783"/>
    <w:rPr>
      <w:kern w:val="0"/>
      <w:szCs w:val="20"/>
      <w:lang w:eastAsia="en-US"/>
    </w:rPr>
  </w:style>
  <w:style w:type="paragraph" w:styleId="Web">
    <w:name w:val="Normal (Web)"/>
    <w:basedOn w:val="a"/>
    <w:uiPriority w:val="99"/>
    <w:rsid w:val="00592306"/>
    <w:pPr>
      <w:spacing w:before="100" w:beforeAutospacing="1" w:after="100" w:afterAutospacing="1"/>
      <w:jc w:val="left"/>
    </w:pPr>
    <w:rPr>
      <w:rFonts w:ascii="Arial Unicode MS" w:eastAsia="Arial Unicode MS" w:hAnsi="Arial Unicode MS" w:cs="Arial Unicode MS"/>
      <w:sz w:val="24"/>
      <w:szCs w:val="24"/>
    </w:rPr>
  </w:style>
  <w:style w:type="table" w:styleId="ab">
    <w:name w:val="Table Grid"/>
    <w:basedOn w:val="a1"/>
    <w:uiPriority w:val="59"/>
    <w:rsid w:val="00300868"/>
    <w:pPr>
      <w:spacing w:after="0" w:line="240" w:lineRule="auto"/>
      <w:jc w:val="left"/>
    </w:pPr>
    <w:rPr>
      <w:kern w:val="0"/>
      <w:sz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sumant\Desktop\New%20Microsoft%20Office%20Excel%20Workshee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671298674919162"/>
          <c:y val="2.8842700968685235E-2"/>
          <c:w val="0.82353691467625656"/>
          <c:h val="0.76292019053173965"/>
        </c:manualLayout>
      </c:layout>
      <c:barChart>
        <c:barDir val="col"/>
        <c:grouping val="stacked"/>
        <c:varyColors val="0"/>
        <c:ser>
          <c:idx val="0"/>
          <c:order val="0"/>
          <c:invertIfNegative val="0"/>
          <c:dLbls>
            <c:dLbl>
              <c:idx val="0"/>
              <c:tx>
                <c:rich>
                  <a:bodyPr/>
                  <a:lstStyle/>
                  <a:p>
                    <a:r>
                      <a:rPr lang="en-US"/>
                      <a:t>16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F41C-4D5E-8B8D-6D2F83B0DF39}"/>
                </c:ext>
              </c:extLst>
            </c:dLbl>
            <c:dLbl>
              <c:idx val="2"/>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F41C-4D5E-8B8D-6D2F83B0DF39}"/>
                </c:ext>
              </c:extLst>
            </c:dLbl>
            <c:dLbl>
              <c:idx val="3"/>
              <c:tx>
                <c:rich>
                  <a:bodyPr/>
                  <a:lstStyle/>
                  <a:p>
                    <a:r>
                      <a:rPr lang="en-US"/>
                      <a:t>12</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F41C-4D5E-8B8D-6D2F83B0DF39}"/>
                </c:ext>
              </c:extLst>
            </c:dLbl>
            <c:dLbl>
              <c:idx val="4"/>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F41C-4D5E-8B8D-6D2F83B0DF39}"/>
                </c:ext>
              </c:extLst>
            </c:dLbl>
            <c:dLbl>
              <c:idx val="5"/>
              <c:tx>
                <c:rich>
                  <a:bodyPr/>
                  <a:lstStyle/>
                  <a:p>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F41C-4D5E-8B8D-6D2F83B0DF39}"/>
                </c:ext>
              </c:extLst>
            </c:dLbl>
            <c:spPr>
              <a:noFill/>
              <a:ln>
                <a:noFill/>
              </a:ln>
              <a:effectLst/>
            </c:spPr>
            <c:txPr>
              <a:bodyPr/>
              <a:lstStyle/>
              <a:p>
                <a:pPr>
                  <a:defRPr lang="en-IN"/>
                </a:pPr>
                <a:endParaRPr lang="ko-KR"/>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Sheet1!$B$3:$B$8</c:f>
              <c:strCache>
                <c:ptCount val="6"/>
                <c:pt idx="0">
                  <c:v>P. Title</c:v>
                </c:pt>
                <c:pt idx="1">
                  <c:v>Name</c:v>
                </c:pt>
                <c:pt idx="2">
                  <c:v>Abstract</c:v>
                </c:pt>
                <c:pt idx="3">
                  <c:v>1. Main heading</c:v>
                </c:pt>
                <c:pt idx="4">
                  <c:v>1.1 Sub heading</c:v>
                </c:pt>
                <c:pt idx="5">
                  <c:v>Text</c:v>
                </c:pt>
              </c:strCache>
            </c:strRef>
          </c:cat>
          <c:val>
            <c:numRef>
              <c:f>Sheet1!$C$3:$C$8</c:f>
              <c:numCache>
                <c:formatCode>General</c:formatCode>
                <c:ptCount val="6"/>
                <c:pt idx="0">
                  <c:v>24</c:v>
                </c:pt>
                <c:pt idx="1">
                  <c:v>12</c:v>
                </c:pt>
                <c:pt idx="2">
                  <c:v>10</c:v>
                </c:pt>
                <c:pt idx="3">
                  <c:v>11</c:v>
                </c:pt>
                <c:pt idx="4">
                  <c:v>10</c:v>
                </c:pt>
                <c:pt idx="5">
                  <c:v>10</c:v>
                </c:pt>
              </c:numCache>
            </c:numRef>
          </c:val>
          <c:extLst>
            <c:ext xmlns:c16="http://schemas.microsoft.com/office/drawing/2014/chart" uri="{C3380CC4-5D6E-409C-BE32-E72D297353CC}">
              <c16:uniqueId val="{00000005-F41C-4D5E-8B8D-6D2F83B0DF39}"/>
            </c:ext>
          </c:extLst>
        </c:ser>
        <c:dLbls>
          <c:showLegendKey val="0"/>
          <c:showVal val="0"/>
          <c:showCatName val="0"/>
          <c:showSerName val="0"/>
          <c:showPercent val="0"/>
          <c:showBubbleSize val="0"/>
        </c:dLbls>
        <c:gapWidth val="150"/>
        <c:overlap val="100"/>
        <c:axId val="159917568"/>
        <c:axId val="159919104"/>
      </c:barChart>
      <c:catAx>
        <c:axId val="159917568"/>
        <c:scaling>
          <c:orientation val="minMax"/>
        </c:scaling>
        <c:delete val="0"/>
        <c:axPos val="b"/>
        <c:numFmt formatCode="General" sourceLinked="0"/>
        <c:majorTickMark val="out"/>
        <c:minorTickMark val="none"/>
        <c:tickLblPos val="nextTo"/>
        <c:txPr>
          <a:bodyPr/>
          <a:lstStyle/>
          <a:p>
            <a:pPr>
              <a:defRPr lang="en-IN"/>
            </a:pPr>
            <a:endParaRPr lang="ko-KR"/>
          </a:p>
        </c:txPr>
        <c:crossAx val="159919104"/>
        <c:crosses val="autoZero"/>
        <c:auto val="1"/>
        <c:lblAlgn val="ctr"/>
        <c:lblOffset val="100"/>
        <c:noMultiLvlLbl val="0"/>
      </c:catAx>
      <c:valAx>
        <c:axId val="159919104"/>
        <c:scaling>
          <c:orientation val="minMax"/>
        </c:scaling>
        <c:delete val="0"/>
        <c:axPos val="l"/>
        <c:majorGridlines/>
        <c:numFmt formatCode="General" sourceLinked="1"/>
        <c:majorTickMark val="out"/>
        <c:minorTickMark val="none"/>
        <c:tickLblPos val="nextTo"/>
        <c:txPr>
          <a:bodyPr/>
          <a:lstStyle/>
          <a:p>
            <a:pPr>
              <a:defRPr lang="en-IN"/>
            </a:pPr>
            <a:endParaRPr lang="ko-KR"/>
          </a:p>
        </c:txPr>
        <c:crossAx val="159917568"/>
        <c:crosses val="autoZero"/>
        <c:crossBetween val="between"/>
      </c:valAx>
    </c:plotArea>
    <c:plotVisOnly val="1"/>
    <c:dispBlanksAs val="gap"/>
    <c:showDLblsOverMax val="0"/>
  </c:chart>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0.24949</cdr:x>
      <cdr:y>0.89091</cdr:y>
    </cdr:from>
    <cdr:to>
      <cdr:x>0.70385</cdr:x>
      <cdr:y>1</cdr:y>
    </cdr:to>
    <cdr:sp macro="" textlink="">
      <cdr:nvSpPr>
        <cdr:cNvPr id="2" name="TextBox 1"/>
        <cdr:cNvSpPr txBox="1"/>
      </cdr:nvSpPr>
      <cdr:spPr>
        <a:xfrm xmlns:a="http://schemas.openxmlformats.org/drawingml/2006/main">
          <a:off x="1171577" y="2800350"/>
          <a:ext cx="2133600" cy="3429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en-IN" sz="1100"/>
        </a:p>
      </cdr:txBody>
    </cdr:sp>
  </cdr:relSizeAnchor>
  <cdr:relSizeAnchor xmlns:cdr="http://schemas.openxmlformats.org/drawingml/2006/chartDrawing">
    <cdr:from>
      <cdr:x>0</cdr:x>
      <cdr:y>0.31306</cdr:y>
    </cdr:from>
    <cdr:to>
      <cdr:x>0.05274</cdr:x>
      <cdr:y>0.60397</cdr:y>
    </cdr:to>
    <cdr:sp macro="" textlink="">
      <cdr:nvSpPr>
        <cdr:cNvPr id="4" name="TextBox 3"/>
        <cdr:cNvSpPr txBox="1"/>
      </cdr:nvSpPr>
      <cdr:spPr>
        <a:xfrm xmlns:a="http://schemas.openxmlformats.org/drawingml/2006/main" rot="16200000">
          <a:off x="-354419" y="1057793"/>
          <a:ext cx="727138" cy="176559"/>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1200" b="1"/>
            <a:t>Font size</a:t>
          </a:r>
        </a:p>
      </cdr:txBody>
    </cdr:sp>
  </cdr:relSizeAnchor>
  <cdr:relSizeAnchor xmlns:cdr="http://schemas.openxmlformats.org/drawingml/2006/chartDrawing">
    <cdr:from>
      <cdr:x>0.47571</cdr:x>
      <cdr:y>0.15898</cdr:y>
    </cdr:from>
    <cdr:to>
      <cdr:x>0.90573</cdr:x>
      <cdr:y>0.26426</cdr:y>
    </cdr:to>
    <cdr:sp macro="" textlink="">
      <cdr:nvSpPr>
        <cdr:cNvPr id="5" name="TextBox 4"/>
        <cdr:cNvSpPr txBox="1"/>
      </cdr:nvSpPr>
      <cdr:spPr>
        <a:xfrm xmlns:a="http://schemas.openxmlformats.org/drawingml/2006/main">
          <a:off x="2020885" y="504248"/>
          <a:ext cx="1826791" cy="333952"/>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en-IN" sz="1100" b="1">
              <a:solidFill>
                <a:sysClr val="windowText" lastClr="000000"/>
              </a:solidFill>
            </a:rPr>
            <a:t>Use only New Times Roman</a:t>
          </a:r>
        </a:p>
      </cdr:txBody>
    </cdr:sp>
  </cdr:relSizeAnchor>
</c:userShape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482</Words>
  <Characters>2752</Characters>
  <Application>Microsoft Office Word</Application>
  <DocSecurity>0</DocSecurity>
  <Lines>22</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kyejeong</dc:creator>
  <cp:keywords/>
  <dc:description/>
  <cp:lastModifiedBy>kyejeong</cp:lastModifiedBy>
  <cp:revision>3</cp:revision>
  <dcterms:created xsi:type="dcterms:W3CDTF">2024-04-02T02:38:00Z</dcterms:created>
  <dcterms:modified xsi:type="dcterms:W3CDTF">2024-04-02T02:46:00Z</dcterms:modified>
</cp:coreProperties>
</file>